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6935"/>
        <w:tblW w:w="9290" w:type="dxa"/>
        <w:tblLook w:val="04A0"/>
      </w:tblPr>
      <w:tblGrid>
        <w:gridCol w:w="1548"/>
        <w:gridCol w:w="1548"/>
        <w:gridCol w:w="1548"/>
        <w:gridCol w:w="1548"/>
        <w:gridCol w:w="1549"/>
        <w:gridCol w:w="1549"/>
      </w:tblGrid>
      <w:tr w:rsidR="006827AF" w:rsidTr="006827AF">
        <w:trPr>
          <w:trHeight w:val="472"/>
        </w:trPr>
        <w:tc>
          <w:tcPr>
            <w:tcW w:w="1548" w:type="dxa"/>
            <w:shd w:val="clear" w:color="auto" w:fill="31849B" w:themeFill="accent5" w:themeFillShade="BF"/>
          </w:tcPr>
          <w:p w:rsidR="006827AF" w:rsidRDefault="006827AF" w:rsidP="006827AF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27AF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1548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27AF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1548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27AF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549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27AF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1549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827AF">
              <w:rPr>
                <w:b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</w:tr>
      <w:tr w:rsidR="006827AF" w:rsidTr="006827AF">
        <w:trPr>
          <w:trHeight w:val="446"/>
        </w:trPr>
        <w:tc>
          <w:tcPr>
            <w:tcW w:w="1548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36"/>
                <w:szCs w:val="36"/>
                <w:vertAlign w:val="subscript"/>
                <w:lang w:val="en-US"/>
              </w:rPr>
            </w:pPr>
            <w:proofErr w:type="spellStart"/>
            <w:r w:rsidRPr="006827AF">
              <w:rPr>
                <w:b/>
                <w:color w:val="FFFFFF" w:themeColor="background1"/>
                <w:sz w:val="36"/>
                <w:szCs w:val="36"/>
                <w:lang w:val="en-US"/>
              </w:rPr>
              <w:t>Q</w:t>
            </w:r>
            <w:r w:rsidRPr="006827AF">
              <w:rPr>
                <w:b/>
                <w:color w:val="FFFFFF" w:themeColor="background1"/>
                <w:sz w:val="36"/>
                <w:szCs w:val="36"/>
                <w:vertAlign w:val="subscript"/>
                <w:lang w:val="en-US"/>
              </w:rPr>
              <w:t>x</w:t>
            </w:r>
            <w:proofErr w:type="spellEnd"/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90</w:t>
            </w:r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70</w:t>
            </w:r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49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549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20</w:t>
            </w:r>
          </w:p>
        </w:tc>
      </w:tr>
      <w:tr w:rsidR="006827AF" w:rsidTr="006827AF">
        <w:trPr>
          <w:trHeight w:val="498"/>
        </w:trPr>
        <w:tc>
          <w:tcPr>
            <w:tcW w:w="1548" w:type="dxa"/>
            <w:shd w:val="clear" w:color="auto" w:fill="31849B" w:themeFill="accent5" w:themeFillShade="BF"/>
          </w:tcPr>
          <w:p w:rsidR="006827AF" w:rsidRPr="006827AF" w:rsidRDefault="006827AF" w:rsidP="006827AF">
            <w:pPr>
              <w:rPr>
                <w:b/>
                <w:color w:val="FFFFFF" w:themeColor="background1"/>
                <w:sz w:val="36"/>
                <w:szCs w:val="36"/>
                <w:vertAlign w:val="subscript"/>
                <w:lang w:val="en-US"/>
              </w:rPr>
            </w:pPr>
            <w:proofErr w:type="spellStart"/>
            <w:r w:rsidRPr="006827AF">
              <w:rPr>
                <w:b/>
                <w:color w:val="FFFFFF" w:themeColor="background1"/>
                <w:sz w:val="36"/>
                <w:szCs w:val="36"/>
                <w:lang w:val="en-US"/>
              </w:rPr>
              <w:t>Q</w:t>
            </w:r>
            <w:r w:rsidRPr="006827AF">
              <w:rPr>
                <w:b/>
                <w:color w:val="FFFFFF" w:themeColor="background1"/>
                <w:sz w:val="36"/>
                <w:szCs w:val="36"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548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30</w:t>
            </w:r>
          </w:p>
        </w:tc>
        <w:tc>
          <w:tcPr>
            <w:tcW w:w="1549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1549" w:type="dxa"/>
          </w:tcPr>
          <w:p w:rsidR="006827AF" w:rsidRPr="00912AD3" w:rsidRDefault="006827AF" w:rsidP="006827AF">
            <w:pPr>
              <w:rPr>
                <w:sz w:val="28"/>
                <w:szCs w:val="28"/>
                <w:lang w:val="en-US"/>
              </w:rPr>
            </w:pPr>
            <w:r w:rsidRPr="00912AD3">
              <w:rPr>
                <w:sz w:val="28"/>
                <w:szCs w:val="28"/>
                <w:lang w:val="en-US"/>
              </w:rPr>
              <w:t>80</w:t>
            </w:r>
          </w:p>
        </w:tc>
      </w:tr>
    </w:tbl>
    <w:tbl>
      <w:tblPr>
        <w:tblpPr w:leftFromText="141" w:rightFromText="141" w:vertAnchor="page" w:horzAnchor="margin" w:tblpXSpec="center" w:tblpY="10966"/>
        <w:tblW w:w="7845" w:type="dxa"/>
        <w:tblCellMar>
          <w:left w:w="70" w:type="dxa"/>
          <w:right w:w="70" w:type="dxa"/>
        </w:tblCellMar>
        <w:tblLook w:val="04A0"/>
      </w:tblPr>
      <w:tblGrid>
        <w:gridCol w:w="1390"/>
        <w:gridCol w:w="487"/>
        <w:gridCol w:w="1608"/>
        <w:gridCol w:w="1212"/>
        <w:gridCol w:w="976"/>
        <w:gridCol w:w="976"/>
        <w:gridCol w:w="1196"/>
      </w:tblGrid>
      <w:tr w:rsidR="006827AF" w:rsidRPr="00912AD3" w:rsidTr="006827AF">
        <w:trPr>
          <w:trHeight w:val="255"/>
        </w:trPr>
        <w:tc>
          <w:tcPr>
            <w:tcW w:w="46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obliczanie</w:t>
            </w:r>
            <w:proofErr w:type="gramEnd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równania linii budżetowej BL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27AF" w:rsidRPr="00912AD3" w:rsidTr="006827AF">
        <w:trPr>
          <w:trHeight w:val="28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Px</w:t>
            </w:r>
            <w:proofErr w:type="spellEnd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= 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</w:t>
            </w:r>
            <w:proofErr w:type="spellEnd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1,5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 =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165</w:t>
            </w:r>
          </w:p>
        </w:tc>
      </w:tr>
      <w:tr w:rsidR="006827AF" w:rsidRPr="00912AD3" w:rsidTr="006827AF">
        <w:trPr>
          <w:trHeight w:val="255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6827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12155"/>
        <w:tblW w:w="6392" w:type="dxa"/>
        <w:tblCellMar>
          <w:left w:w="70" w:type="dxa"/>
          <w:right w:w="70" w:type="dxa"/>
        </w:tblCellMar>
        <w:tblLook w:val="04A0"/>
      </w:tblPr>
      <w:tblGrid>
        <w:gridCol w:w="1196"/>
        <w:gridCol w:w="457"/>
        <w:gridCol w:w="888"/>
        <w:gridCol w:w="941"/>
        <w:gridCol w:w="853"/>
        <w:gridCol w:w="1256"/>
        <w:gridCol w:w="801"/>
      </w:tblGrid>
      <w:tr w:rsidR="006827AF" w:rsidRPr="006827AF" w:rsidTr="00D35E40">
        <w:trPr>
          <w:trHeight w:val="29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5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827A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  <w:t>Szacowaniekrzywejobojętności</w:t>
            </w:r>
            <w:proofErr w:type="spellEnd"/>
            <w:r w:rsidRPr="006827A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  <w:t xml:space="preserve"> I - </w:t>
            </w:r>
            <w:proofErr w:type="spellStart"/>
            <w:r w:rsidRPr="006827A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  <w:t>funkcjaregresji</w:t>
            </w:r>
            <w:proofErr w:type="spellEnd"/>
          </w:p>
        </w:tc>
      </w:tr>
      <w:tr w:rsidR="006827AF" w:rsidRPr="006827AF" w:rsidTr="00D35E40">
        <w:trPr>
          <w:trHeight w:val="28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</w:pPr>
            <w:proofErr w:type="spellStart"/>
            <w:r w:rsidRPr="006827AF">
              <w:rPr>
                <w:rFonts w:ascii="Arial" w:eastAsia="Times New Roman" w:hAnsi="Arial" w:cs="Arial"/>
                <w:i/>
                <w:sz w:val="20"/>
                <w:szCs w:val="20"/>
                <w:lang w:val="en-US" w:eastAsia="pl-PL"/>
              </w:rPr>
              <w:t>Koszykikonsumenta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6827AF" w:rsidRPr="006827AF" w:rsidTr="00D35E40">
        <w:trPr>
          <w:trHeight w:val="25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5</w:t>
            </w:r>
          </w:p>
        </w:tc>
      </w:tr>
      <w:tr w:rsidR="006827AF" w:rsidRPr="00912AD3" w:rsidTr="00D35E40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center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</w:pPr>
            <w:proofErr w:type="spellStart"/>
            <w:r w:rsidRPr="006827A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  <w:t>dobro</w:t>
            </w:r>
            <w:proofErr w:type="spellEnd"/>
            <w:r w:rsidRPr="006827AF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US" w:eastAsia="pl-PL"/>
              </w:rPr>
              <w:t xml:space="preserve"> X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6827AF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proofErr w:type="spellStart"/>
            <w:r w:rsidRPr="006827AF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Qx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lang w:val="en-US" w:eastAsia="pl-PL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6827AF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pl-PL"/>
              </w:rPr>
            </w:pPr>
            <w:r w:rsidRPr="006827AF">
              <w:rPr>
                <w:rFonts w:ascii="Arial" w:eastAsia="Times New Roman" w:hAnsi="Arial" w:cs="Arial"/>
                <w:lang w:val="en-US" w:eastAsia="pl-PL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12AD3">
              <w:rPr>
                <w:rFonts w:ascii="Arial" w:eastAsia="Times New Roman" w:hAnsi="Arial" w:cs="Arial"/>
                <w:lang w:eastAsia="pl-PL"/>
              </w:rPr>
              <w:t>20</w:t>
            </w:r>
          </w:p>
        </w:tc>
      </w:tr>
      <w:tr w:rsidR="006827AF" w:rsidRPr="00912AD3" w:rsidTr="00D35E40">
        <w:trPr>
          <w:trHeight w:val="48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center"/>
            <w:hideMark/>
          </w:tcPr>
          <w:p w:rsidR="006827AF" w:rsidRPr="001459CE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</w:pPr>
            <w:proofErr w:type="gramStart"/>
            <w:r w:rsidRPr="001459C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  <w:t>dobro</w:t>
            </w:r>
            <w:proofErr w:type="gramEnd"/>
            <w:r w:rsidRPr="001459C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  <w:t xml:space="preserve"> Y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Qy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2AD3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2AD3"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2AD3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2AD3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827AF" w:rsidRPr="00912AD3" w:rsidRDefault="006827AF" w:rsidP="00D3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12AD3">
              <w:rPr>
                <w:rFonts w:ascii="Times New Roman" w:eastAsia="Times New Roman" w:hAnsi="Times New Roman" w:cs="Times New Roman"/>
                <w:lang w:eastAsia="pl-PL"/>
              </w:rPr>
              <w:t>80</w:t>
            </w:r>
          </w:p>
        </w:tc>
      </w:tr>
      <w:tr w:rsidR="006827AF" w:rsidRPr="00912AD3" w:rsidTr="00D35E40">
        <w:trPr>
          <w:trHeight w:val="402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  <w:noWrap/>
            <w:vAlign w:val="bottom"/>
            <w:hideMark/>
          </w:tcPr>
          <w:p w:rsidR="006827AF" w:rsidRPr="001459CE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</w:pPr>
            <w:r w:rsidRPr="001459C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6827AF" w:rsidRPr="00912AD3" w:rsidRDefault="006827AF" w:rsidP="00D35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2A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D35E40" w:rsidRDefault="006827AF" w:rsidP="006827A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827AF">
        <w:rPr>
          <w:color w:val="000000"/>
          <w:sz w:val="20"/>
          <w:szCs w:val="20"/>
        </w:rPr>
        <w:t>Przygotowały:</w:t>
      </w:r>
      <w:r w:rsidRPr="006827AF">
        <w:rPr>
          <w:color w:val="000000"/>
          <w:sz w:val="20"/>
          <w:szCs w:val="20"/>
        </w:rPr>
        <w:br/>
        <w:t xml:space="preserve">Weronika Kowalczyk </w:t>
      </w:r>
      <w:r w:rsidRPr="006827AF">
        <w:rPr>
          <w:color w:val="000000"/>
          <w:sz w:val="20"/>
          <w:szCs w:val="20"/>
        </w:rPr>
        <w:br/>
        <w:t xml:space="preserve">Paulina Kuszewska </w:t>
      </w:r>
      <w:r w:rsidRPr="006827AF">
        <w:rPr>
          <w:color w:val="000000"/>
          <w:sz w:val="20"/>
          <w:szCs w:val="20"/>
        </w:rPr>
        <w:br/>
        <w:t xml:space="preserve">Kamila Mierzejewska </w:t>
      </w:r>
      <w:r w:rsidRPr="006827AF">
        <w:rPr>
          <w:color w:val="000000"/>
          <w:sz w:val="20"/>
          <w:szCs w:val="20"/>
        </w:rPr>
        <w:br/>
        <w:t>Agata Wojtasiak</w:t>
      </w:r>
      <w:r w:rsidR="00836915">
        <w:rPr>
          <w:color w:val="000000"/>
          <w:sz w:val="20"/>
          <w:szCs w:val="20"/>
        </w:rPr>
        <w:t xml:space="preserve"> WZ UW </w:t>
      </w:r>
      <w:r w:rsidRPr="006827AF">
        <w:rPr>
          <w:rFonts w:ascii="Times New Roman" w:hAnsi="Times New Roman" w:cs="Times New Roman"/>
          <w:sz w:val="20"/>
          <w:szCs w:val="20"/>
        </w:rPr>
        <w:br/>
      </w:r>
      <w:r w:rsidRPr="006827AF">
        <w:rPr>
          <w:rFonts w:ascii="Times New Roman" w:hAnsi="Times New Roman" w:cs="Times New Roman"/>
          <w:sz w:val="28"/>
          <w:szCs w:val="28"/>
        </w:rPr>
        <w:br/>
      </w:r>
      <w:r w:rsidRPr="006827AF">
        <w:rPr>
          <w:rFonts w:ascii="Times New Roman" w:hAnsi="Times New Roman" w:cs="Times New Roman"/>
          <w:sz w:val="28"/>
          <w:szCs w:val="28"/>
        </w:rPr>
        <w:br/>
      </w:r>
      <w:r w:rsidRPr="006827AF">
        <w:rPr>
          <w:rFonts w:ascii="Times New Roman" w:hAnsi="Times New Roman" w:cs="Times New Roman"/>
          <w:b/>
          <w:sz w:val="44"/>
          <w:szCs w:val="44"/>
        </w:rPr>
        <w:t xml:space="preserve">Praca semestralna z </w:t>
      </w:r>
      <w:proofErr w:type="gramStart"/>
      <w:r w:rsidRPr="006827AF">
        <w:rPr>
          <w:rFonts w:ascii="Times New Roman" w:hAnsi="Times New Roman" w:cs="Times New Roman"/>
          <w:b/>
          <w:sz w:val="44"/>
          <w:szCs w:val="44"/>
        </w:rPr>
        <w:t>mikroekonomii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linia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budżetowa, krzywa obojętności, użyteczność</w:t>
      </w:r>
      <w:r w:rsidRPr="006827AF">
        <w:rPr>
          <w:rFonts w:ascii="Times New Roman" w:hAnsi="Times New Roman" w:cs="Times New Roman"/>
          <w:sz w:val="28"/>
          <w:szCs w:val="28"/>
        </w:rPr>
        <w:br/>
      </w:r>
      <w:r w:rsidRPr="006827A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6827AF">
        <w:rPr>
          <w:rFonts w:ascii="Times New Roman" w:hAnsi="Times New Roman" w:cs="Times New Roman"/>
          <w:sz w:val="28"/>
          <w:szCs w:val="28"/>
        </w:rPr>
        <w:br/>
      </w:r>
      <w:r w:rsidR="00D35E40">
        <w:rPr>
          <w:rFonts w:ascii="Times New Roman" w:hAnsi="Times New Roman" w:cs="Times New Roman"/>
          <w:sz w:val="20"/>
          <w:szCs w:val="20"/>
        </w:rPr>
        <w:t>Z</w:t>
      </w:r>
      <w:r w:rsidRPr="006827AF">
        <w:rPr>
          <w:rFonts w:ascii="Times New Roman" w:hAnsi="Times New Roman" w:cs="Times New Roman"/>
          <w:sz w:val="20"/>
          <w:szCs w:val="20"/>
        </w:rPr>
        <w:t>adanie (</w:t>
      </w:r>
      <w:proofErr w:type="spellStart"/>
      <w:r w:rsidRPr="006827AF">
        <w:rPr>
          <w:rFonts w:ascii="Times New Roman" w:hAnsi="Times New Roman" w:cs="Times New Roman"/>
          <w:sz w:val="20"/>
          <w:szCs w:val="20"/>
        </w:rPr>
        <w:t>excercise</w:t>
      </w:r>
      <w:proofErr w:type="spellEnd"/>
      <w:r w:rsidRPr="006827AF">
        <w:rPr>
          <w:rFonts w:ascii="Times New Roman" w:hAnsi="Times New Roman" w:cs="Times New Roman"/>
          <w:sz w:val="20"/>
          <w:szCs w:val="20"/>
        </w:rPr>
        <w:t>):</w:t>
      </w:r>
      <w:r>
        <w:rPr>
          <w:rFonts w:ascii="Times New Roman" w:hAnsi="Times New Roman" w:cs="Times New Roman"/>
          <w:sz w:val="28"/>
          <w:szCs w:val="28"/>
        </w:rPr>
        <w:br/>
      </w:r>
      <w:r w:rsidRPr="006827A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D35E40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D3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consumer`s</w:t>
      </w:r>
      <w:proofErr w:type="spellEnd"/>
      <w:r w:rsidR="00D3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40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="00D35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E40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="00D35E40">
        <w:rPr>
          <w:rFonts w:ascii="Times New Roman" w:hAnsi="Times New Roman" w:cs="Times New Roman"/>
          <w:sz w:val="28"/>
          <w:szCs w:val="28"/>
        </w:rPr>
        <w:t xml:space="preserve"> to</w:t>
      </w:r>
      <w:r w:rsidR="009E0492" w:rsidRPr="006827AF">
        <w:rPr>
          <w:rFonts w:ascii="Times New Roman" w:hAnsi="Times New Roman" w:cs="Times New Roman"/>
          <w:sz w:val="28"/>
          <w:szCs w:val="28"/>
        </w:rPr>
        <w:t xml:space="preserve"> $165,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x = $3 and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price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9E0492" w:rsidRPr="006827A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="009E0492" w:rsidRPr="006827AF">
        <w:rPr>
          <w:rFonts w:ascii="Times New Roman" w:hAnsi="Times New Roman" w:cs="Times New Roman"/>
          <w:sz w:val="28"/>
          <w:szCs w:val="28"/>
        </w:rPr>
        <w:t xml:space="preserve"> y = $1,5. </w:t>
      </w:r>
      <w:r w:rsidR="00D35E40" w:rsidRPr="002A70D0">
        <w:rPr>
          <w:rFonts w:ascii="Times New Roman" w:hAnsi="Times New Roman" w:cs="Times New Roman"/>
          <w:sz w:val="28"/>
          <w:szCs w:val="28"/>
          <w:lang w:val="en-US"/>
        </w:rPr>
        <w:t xml:space="preserve">Using the data from the table </w:t>
      </w:r>
      <w:r w:rsidR="00D35E4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E0492" w:rsidRPr="006827AF">
        <w:rPr>
          <w:rFonts w:ascii="Times New Roman" w:hAnsi="Times New Roman" w:cs="Times New Roman"/>
          <w:sz w:val="28"/>
          <w:szCs w:val="28"/>
          <w:lang w:val="en-US"/>
        </w:rPr>
        <w:t>igure out the points on consumer`s consumption choice budget constraint and identify his utility-maximizing point.</w:t>
      </w:r>
    </w:p>
    <w:p w:rsidR="00D35E40" w:rsidRDefault="00D35E40" w:rsidP="006827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5E40" w:rsidRDefault="00D35E40" w:rsidP="006827A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5E40" w:rsidRDefault="009E0492" w:rsidP="006827AF">
      <w:pPr>
        <w:rPr>
          <w:lang w:val="en-US"/>
        </w:rPr>
      </w:pPr>
      <w:r w:rsidRPr="009E0492">
        <w:rPr>
          <w:lang w:val="en-US"/>
        </w:rPr>
        <w:cr/>
      </w:r>
      <w:r>
        <w:rPr>
          <w:lang w:val="en-US"/>
        </w:rPr>
        <w:br/>
      </w:r>
      <w:r w:rsidR="006827AF">
        <w:rPr>
          <w:lang w:val="en-US"/>
        </w:rPr>
        <w:br/>
      </w:r>
      <w:r w:rsidR="006827AF">
        <w:rPr>
          <w:lang w:val="en-US"/>
        </w:rPr>
        <w:br/>
      </w:r>
      <w:r w:rsidR="006827AF">
        <w:rPr>
          <w:lang w:val="en-US"/>
        </w:rPr>
        <w:br/>
      </w:r>
    </w:p>
    <w:p w:rsidR="00D35E40" w:rsidRDefault="00D35E40" w:rsidP="006827AF">
      <w:pPr>
        <w:rPr>
          <w:lang w:val="en-US"/>
        </w:rPr>
      </w:pPr>
    </w:p>
    <w:p w:rsidR="00912AD3" w:rsidRPr="002A70D0" w:rsidRDefault="006827AF" w:rsidP="006827AF">
      <w:r w:rsidRPr="002A70D0">
        <w:t>Wstawiamy</w:t>
      </w:r>
      <w:r w:rsidR="00D35E40" w:rsidRPr="002A70D0">
        <w:t xml:space="preserve"> </w:t>
      </w:r>
      <w:r w:rsidRPr="002A70D0">
        <w:t>dane do arkusza:</w:t>
      </w:r>
      <w:r w:rsidRPr="002A70D0">
        <w:br/>
      </w:r>
      <w:r w:rsidRPr="002A70D0">
        <w:br/>
      </w:r>
      <w:r w:rsidRPr="002A70D0">
        <w:br/>
      </w:r>
      <w:r w:rsidRPr="002A70D0">
        <w:br/>
      </w:r>
      <w:r w:rsidRPr="002A70D0">
        <w:br/>
      </w:r>
      <w:r w:rsidR="00647E38" w:rsidRPr="002A70D0">
        <w:br/>
      </w:r>
      <w:r w:rsidR="00912AD3" w:rsidRPr="002A70D0">
        <w:br/>
      </w:r>
      <w:r w:rsidR="00912AD3" w:rsidRPr="002A70D0">
        <w:br/>
      </w:r>
    </w:p>
    <w:p w:rsidR="009E0492" w:rsidRPr="002A70D0" w:rsidRDefault="009E0492" w:rsidP="009E0492"/>
    <w:p w:rsidR="00912AD3" w:rsidRPr="002A70D0" w:rsidRDefault="00912AD3" w:rsidP="00912AD3">
      <w:r w:rsidRPr="002A70D0">
        <w:tab/>
      </w:r>
    </w:p>
    <w:p w:rsidR="00912AD3" w:rsidRPr="002A70D0" w:rsidRDefault="00912AD3" w:rsidP="00912AD3">
      <w:r w:rsidRPr="002A70D0">
        <w:tab/>
      </w:r>
      <w:r w:rsidRPr="002A70D0">
        <w:tab/>
      </w:r>
    </w:p>
    <w:p w:rsidR="00A34B18" w:rsidRPr="006827AF" w:rsidRDefault="00912AD3" w:rsidP="00912AD3">
      <w:pPr>
        <w:rPr>
          <w:rFonts w:cs="Helvetica"/>
          <w:shd w:val="clear" w:color="auto" w:fill="FFFFFF"/>
        </w:rPr>
      </w:pPr>
      <w:r w:rsidRPr="001459CE">
        <w:lastRenderedPageBreak/>
        <w:tab/>
      </w:r>
      <w:r w:rsidRPr="001459CE">
        <w:tab/>
      </w:r>
      <w:r w:rsidRPr="001459CE">
        <w:tab/>
      </w:r>
      <w:r w:rsidRPr="00912AD3">
        <w:br/>
      </w:r>
      <w:r w:rsidRPr="00912AD3">
        <w:br/>
      </w:r>
      <w:r w:rsidRPr="00912AD3">
        <w:br/>
      </w:r>
      <w:r w:rsidRPr="00912AD3">
        <w:br/>
      </w:r>
      <w:r w:rsidRPr="00912AD3">
        <w:br/>
      </w:r>
      <w:r>
        <w:br/>
      </w:r>
      <w:r w:rsidR="001E2446">
        <w:br/>
      </w:r>
      <w:r w:rsidR="001E2446">
        <w:br/>
      </w:r>
      <w:r>
        <w:t>Po wpisaniu danych</w:t>
      </w:r>
      <w:r w:rsidRPr="00912AD3">
        <w:t xml:space="preserve"> otrzymujemy następujące wykresy</w:t>
      </w:r>
      <w:r>
        <w:t xml:space="preserve"> funkcji</w:t>
      </w:r>
      <w:proofErr w:type="gramStart"/>
      <w:r w:rsidRPr="00912AD3">
        <w:t>:</w:t>
      </w:r>
      <w:r w:rsidR="001E2446">
        <w:br/>
      </w:r>
      <w:r>
        <w:br/>
      </w:r>
      <w:r w:rsidR="001E2446">
        <w:rPr>
          <w:noProof/>
          <w:lang w:eastAsia="pl-PL"/>
        </w:rPr>
        <w:drawing>
          <wp:inline distT="0" distB="0" distL="0" distR="0">
            <wp:extent cx="5953125" cy="3581400"/>
            <wp:effectExtent l="0" t="0" r="9525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 w:rsidR="00416E99">
        <w:t>Równanie</w:t>
      </w:r>
      <w:proofErr w:type="gramEnd"/>
      <w:r w:rsidR="00416E99">
        <w:t xml:space="preserve"> linii budżetowej przyjmuje postać: </w:t>
      </w:r>
      <w:r w:rsidR="00416E99" w:rsidRPr="00647E38">
        <w:rPr>
          <w:b/>
        </w:rPr>
        <w:t>3Qx+ 1,5Qy=165</w:t>
      </w:r>
      <w:r w:rsidR="00416E99" w:rsidRPr="00912AD3">
        <w:br/>
      </w:r>
      <w:r w:rsidR="00416E99">
        <w:br/>
      </w:r>
      <w:r>
        <w:t xml:space="preserve">Z wykresu linii budżetowej możemy odczytać maksymalne ilości dóbr X i Y, które może kupić konsument, wyznaczone przez dochód i ceny nabywanych dóbr. </w:t>
      </w:r>
      <w:r w:rsidR="00416E99">
        <w:t xml:space="preserve"> Maksymalna ilość dobra X przy dochodzie równym 165 </w:t>
      </w:r>
      <w:proofErr w:type="gramStart"/>
      <w:r w:rsidR="00416E99">
        <w:t>wynosi  55, natomiast</w:t>
      </w:r>
      <w:proofErr w:type="gramEnd"/>
      <w:r w:rsidR="00416E99">
        <w:t xml:space="preserve"> maksymalna ilość dobra Y – 110.</w:t>
      </w:r>
      <w:r w:rsidR="00647E38">
        <w:br/>
      </w:r>
      <w:r w:rsidR="00647E38">
        <w:br/>
        <w:t xml:space="preserve">Punkt styczności linii budżetowej i krzywej obojętności wyznacza punkt równowagi konsumenta, który wskazuje taką kombinację ilościową dobra X i Y, która przynosi konsumentowi największe zadowolenie. W naszym przypadku punkt równowagi konsumenta ma współrzędne (30,50), co oznacza, że konsument osiągnie maksymalne korzyści </w:t>
      </w:r>
      <w:proofErr w:type="gramStart"/>
      <w:r w:rsidR="00647E38">
        <w:t>kupując  30 jednostek</w:t>
      </w:r>
      <w:proofErr w:type="gramEnd"/>
      <w:r w:rsidR="00647E38">
        <w:t xml:space="preserve"> dobra X i 50 jednostek dobra Y.</w:t>
      </w:r>
      <w:r w:rsidR="001E2446">
        <w:br/>
      </w:r>
      <w:r w:rsidR="001C0B3D">
        <w:br/>
      </w:r>
      <w:proofErr w:type="spellStart"/>
      <w:r w:rsidR="004D4EBA" w:rsidRPr="004D4EBA">
        <w:rPr>
          <w:rFonts w:cs="Helvetica"/>
          <w:i/>
          <w:u w:val="single"/>
          <w:shd w:val="clear" w:color="auto" w:fill="FFFFFF"/>
          <w:lang w:val="en-US"/>
        </w:rPr>
        <w:t>English</w:t>
      </w:r>
      <w:proofErr w:type="gramStart"/>
      <w:r w:rsidR="004D4EBA" w:rsidRPr="004D4EBA">
        <w:rPr>
          <w:rFonts w:cs="Helvetica"/>
          <w:i/>
          <w:u w:val="single"/>
          <w:shd w:val="clear" w:color="auto" w:fill="FFFFFF"/>
          <w:lang w:val="en-US"/>
        </w:rPr>
        <w:t>:</w:t>
      </w:r>
      <w:r w:rsidR="001C0B3D" w:rsidRPr="001C0B3D">
        <w:rPr>
          <w:rFonts w:cs="Helvetica"/>
          <w:shd w:val="clear" w:color="auto" w:fill="FFFFFF"/>
          <w:lang w:val="en-US"/>
        </w:rPr>
        <w:t>From</w:t>
      </w:r>
      <w:proofErr w:type="spellEnd"/>
      <w:proofErr w:type="gramEnd"/>
      <w:r w:rsidR="001C0B3D" w:rsidRPr="001C0B3D">
        <w:rPr>
          <w:rFonts w:cs="Helvetica"/>
          <w:shd w:val="clear" w:color="auto" w:fill="FFFFFF"/>
          <w:lang w:val="en-US"/>
        </w:rPr>
        <w:t xml:space="preserve"> the graph of the budget line we can re</w:t>
      </w:r>
      <w:r w:rsidR="001C0B3D">
        <w:rPr>
          <w:rFonts w:cs="Helvetica"/>
          <w:shd w:val="clear" w:color="auto" w:fill="FFFFFF"/>
          <w:lang w:val="en-US"/>
        </w:rPr>
        <w:t>ad the maximum amount of goods X and Y</w:t>
      </w:r>
      <w:r w:rsidR="001C0B3D" w:rsidRPr="001C0B3D">
        <w:rPr>
          <w:rFonts w:cs="Helvetica"/>
          <w:shd w:val="clear" w:color="auto" w:fill="FFFFFF"/>
          <w:lang w:val="en-US"/>
        </w:rPr>
        <w:t xml:space="preserve"> which consumer can buy, </w:t>
      </w:r>
      <w:r w:rsidR="001C0B3D">
        <w:rPr>
          <w:rFonts w:cs="Helvetica"/>
          <w:shd w:val="clear" w:color="auto" w:fill="FFFFFF"/>
          <w:lang w:val="en-US"/>
        </w:rPr>
        <w:t xml:space="preserve">considering </w:t>
      </w:r>
      <w:r w:rsidR="00D35E40">
        <w:rPr>
          <w:rFonts w:cs="Helvetica"/>
          <w:shd w:val="clear" w:color="auto" w:fill="FFFFFF"/>
          <w:lang w:val="en-US"/>
        </w:rPr>
        <w:t xml:space="preserve"> his</w:t>
      </w:r>
      <w:r w:rsidR="001C0B3D" w:rsidRPr="001C0B3D">
        <w:rPr>
          <w:rFonts w:cs="Helvetica"/>
          <w:shd w:val="clear" w:color="auto" w:fill="FFFFFF"/>
          <w:lang w:val="en-US"/>
        </w:rPr>
        <w:t xml:space="preserve"> income and prices of purchased goods. The maximum amount of goods </w:t>
      </w:r>
      <w:r w:rsidR="001C0B3D">
        <w:rPr>
          <w:rFonts w:cs="Helvetica"/>
          <w:shd w:val="clear" w:color="auto" w:fill="FFFFFF"/>
          <w:lang w:val="en-US"/>
        </w:rPr>
        <w:t xml:space="preserve">having the </w:t>
      </w:r>
      <w:r w:rsidR="001C0B3D" w:rsidRPr="001C0B3D">
        <w:rPr>
          <w:rFonts w:cs="Helvetica"/>
          <w:shd w:val="clear" w:color="auto" w:fill="FFFFFF"/>
          <w:lang w:val="en-US"/>
        </w:rPr>
        <w:t>income 165 is 55, while the maximum amount of good y - 110. The point of tangency budget line a</w:t>
      </w:r>
      <w:r w:rsidR="00D35E40">
        <w:rPr>
          <w:rFonts w:cs="Helvetica"/>
          <w:shd w:val="clear" w:color="auto" w:fill="FFFFFF"/>
          <w:lang w:val="en-US"/>
        </w:rPr>
        <w:t>nd indifference curve determine</w:t>
      </w:r>
      <w:r w:rsidR="001C0B3D" w:rsidRPr="001C0B3D">
        <w:rPr>
          <w:rFonts w:cs="Helvetica"/>
          <w:shd w:val="clear" w:color="auto" w:fill="FFFFFF"/>
          <w:lang w:val="en-US"/>
        </w:rPr>
        <w:t xml:space="preserve"> the consumer equilibrium point which </w:t>
      </w:r>
      <w:r w:rsidR="001C0B3D" w:rsidRPr="001C0B3D">
        <w:rPr>
          <w:rFonts w:cs="Helvetica"/>
          <w:shd w:val="clear" w:color="auto" w:fill="FFFFFF"/>
          <w:lang w:val="en-US"/>
        </w:rPr>
        <w:lastRenderedPageBreak/>
        <w:t>indicates the combination of quantitat</w:t>
      </w:r>
      <w:r w:rsidR="001C0B3D">
        <w:rPr>
          <w:rFonts w:cs="Helvetica"/>
          <w:shd w:val="clear" w:color="auto" w:fill="FFFFFF"/>
          <w:lang w:val="en-US"/>
        </w:rPr>
        <w:t>ive goods X and Y</w:t>
      </w:r>
      <w:r w:rsidR="001C0B3D" w:rsidRPr="001C0B3D">
        <w:rPr>
          <w:rFonts w:cs="Helvetica"/>
          <w:shd w:val="clear" w:color="auto" w:fill="FFFFFF"/>
          <w:lang w:val="en-US"/>
        </w:rPr>
        <w:t xml:space="preserve"> which brings the greatest satisfaction. In our case the </w:t>
      </w:r>
      <w:proofErr w:type="spellStart"/>
      <w:r w:rsidR="001C0B3D" w:rsidRPr="001C0B3D">
        <w:rPr>
          <w:rFonts w:cs="Helvetica"/>
          <w:shd w:val="clear" w:color="auto" w:fill="FFFFFF"/>
          <w:lang w:val="en-US"/>
        </w:rPr>
        <w:t>the</w:t>
      </w:r>
      <w:proofErr w:type="spellEnd"/>
      <w:r w:rsidR="001C0B3D" w:rsidRPr="001C0B3D">
        <w:rPr>
          <w:rFonts w:cs="Helvetica"/>
          <w:shd w:val="clear" w:color="auto" w:fill="FFFFFF"/>
          <w:lang w:val="en-US"/>
        </w:rPr>
        <w:t xml:space="preserve"> equilibrium point has the coordinates (30,50) which m</w:t>
      </w:r>
      <w:r w:rsidR="00D35E40">
        <w:rPr>
          <w:rFonts w:cs="Helvetica"/>
          <w:shd w:val="clear" w:color="auto" w:fill="FFFFFF"/>
          <w:lang w:val="en-US"/>
        </w:rPr>
        <w:t xml:space="preserve">eans that 30 units of good X and 50 units of good Y provide </w:t>
      </w:r>
      <w:r w:rsidR="001C0B3D" w:rsidRPr="001C0B3D">
        <w:rPr>
          <w:rFonts w:cs="Helvetica"/>
          <w:shd w:val="clear" w:color="auto" w:fill="FFFFFF"/>
          <w:lang w:val="en-US"/>
        </w:rPr>
        <w:t>maximum benefit</w:t>
      </w:r>
      <w:r w:rsidR="00D35E40">
        <w:rPr>
          <w:rFonts w:cs="Helvetica"/>
          <w:shd w:val="clear" w:color="auto" w:fill="FFFFFF"/>
          <w:lang w:val="en-US"/>
        </w:rPr>
        <w:t xml:space="preserve">. </w:t>
      </w:r>
      <w:r w:rsidR="001C0B3D">
        <w:rPr>
          <w:rFonts w:cs="Helvetica"/>
          <w:shd w:val="clear" w:color="auto" w:fill="FFFFFF"/>
          <w:lang w:val="en-US"/>
        </w:rPr>
        <w:t xml:space="preserve"> </w:t>
      </w:r>
      <w:r w:rsidR="002E6F24">
        <w:rPr>
          <w:rFonts w:cs="Helvetica"/>
          <w:shd w:val="clear" w:color="auto" w:fill="FFFFFF"/>
          <w:lang w:val="en-US"/>
        </w:rPr>
        <w:br/>
      </w:r>
      <w:r w:rsidR="002E6F24">
        <w:rPr>
          <w:rFonts w:cs="Helvetica"/>
          <w:shd w:val="clear" w:color="auto" w:fill="FFFFFF"/>
          <w:lang w:val="en-US"/>
        </w:rPr>
        <w:br/>
      </w:r>
      <w:r w:rsidR="002E6F24">
        <w:rPr>
          <w:rFonts w:cs="Helvetica"/>
          <w:shd w:val="clear" w:color="auto" w:fill="FFFFFF"/>
          <w:lang w:val="en-US"/>
        </w:rPr>
        <w:br/>
      </w:r>
      <w:r w:rsidR="006827AF" w:rsidRPr="002A70D0">
        <w:rPr>
          <w:rFonts w:cs="Helvetica"/>
          <w:b/>
          <w:i/>
          <w:u w:val="single"/>
          <w:shd w:val="clear" w:color="auto" w:fill="FFFFFF"/>
          <w:lang w:val="en-US"/>
        </w:rPr>
        <w:br/>
      </w:r>
      <w:r w:rsidR="006827AF" w:rsidRPr="002A70D0">
        <w:rPr>
          <w:rFonts w:cs="Helvetica"/>
          <w:b/>
          <w:i/>
          <w:u w:val="single"/>
          <w:shd w:val="clear" w:color="auto" w:fill="FFFFFF"/>
          <w:lang w:val="en-US"/>
        </w:rPr>
        <w:br/>
      </w:r>
      <w:r w:rsidR="002E6F24" w:rsidRPr="004D4EBA">
        <w:rPr>
          <w:rFonts w:cs="Helvetica"/>
          <w:b/>
          <w:i/>
          <w:u w:val="single"/>
          <w:shd w:val="clear" w:color="auto" w:fill="FFFFFF"/>
        </w:rPr>
        <w:t>Użyteczność dobra X i dobra Y</w:t>
      </w:r>
      <w:r w:rsidR="002E6F24" w:rsidRPr="004D4EBA">
        <w:rPr>
          <w:rFonts w:cs="Helvetica"/>
          <w:shd w:val="clear" w:color="auto" w:fill="FFFFFF"/>
        </w:rPr>
        <w:br/>
      </w:r>
      <w:r w:rsidR="002E6F24" w:rsidRPr="004D4EBA">
        <w:rPr>
          <w:rFonts w:cs="Helvetica"/>
          <w:shd w:val="clear" w:color="auto" w:fill="FFFFFF"/>
        </w:rPr>
        <w:br/>
      </w:r>
      <w:r w:rsidR="002E6F24" w:rsidRPr="004D4EBA">
        <w:rPr>
          <w:rFonts w:cs="Helvetica"/>
          <w:shd w:val="clear" w:color="auto" w:fill="FFFFFF"/>
        </w:rPr>
        <w:br/>
      </w:r>
      <w:r w:rsidR="002E6F24">
        <w:rPr>
          <w:noProof/>
          <w:lang w:eastAsia="pl-PL"/>
        </w:rPr>
        <w:drawing>
          <wp:inline distT="0" distB="0" distL="0" distR="0">
            <wp:extent cx="4972050" cy="2943225"/>
            <wp:effectExtent l="0" t="0" r="19050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E6F24" w:rsidRPr="004D4EBA">
        <w:rPr>
          <w:rFonts w:cs="Helvetica"/>
          <w:shd w:val="clear" w:color="auto" w:fill="FFFFFF"/>
        </w:rPr>
        <w:br/>
      </w:r>
      <w:r w:rsidR="004D4EBA">
        <w:rPr>
          <w:rFonts w:cs="Helvetica"/>
          <w:shd w:val="clear" w:color="auto" w:fill="FFFFFF"/>
        </w:rPr>
        <w:br/>
      </w:r>
      <w:r w:rsidR="006827AF">
        <w:rPr>
          <w:rFonts w:cs="Helvetica"/>
          <w:shd w:val="clear" w:color="auto" w:fill="FFFFFF"/>
        </w:rPr>
        <w:br/>
      </w:r>
      <w:r w:rsidR="002E6F24" w:rsidRPr="004D4EBA">
        <w:rPr>
          <w:rFonts w:cs="Helvetica"/>
          <w:shd w:val="clear" w:color="auto" w:fill="FFFFFF"/>
        </w:rPr>
        <w:t>Wnioski</w:t>
      </w:r>
      <w:r w:rsidR="004D4EBA" w:rsidRPr="004D4EBA">
        <w:rPr>
          <w:rFonts w:cs="Helvetica"/>
          <w:shd w:val="clear" w:color="auto" w:fill="FFFFFF"/>
        </w:rPr>
        <w:t xml:space="preserve"> (</w:t>
      </w:r>
      <w:proofErr w:type="spellStart"/>
      <w:r w:rsidR="004D4EBA" w:rsidRPr="004D4EBA">
        <w:rPr>
          <w:rFonts w:cs="Helvetica"/>
          <w:shd w:val="clear" w:color="auto" w:fill="FFFFFF"/>
        </w:rPr>
        <w:t>conclusion</w:t>
      </w:r>
      <w:proofErr w:type="spellEnd"/>
      <w:proofErr w:type="gramStart"/>
      <w:r w:rsidR="004D4EBA" w:rsidRPr="004D4EBA">
        <w:rPr>
          <w:rFonts w:cs="Helvetica"/>
          <w:shd w:val="clear" w:color="auto" w:fill="FFFFFF"/>
        </w:rPr>
        <w:t xml:space="preserve">) </w:t>
      </w:r>
      <w:r w:rsidR="002E6F24" w:rsidRPr="004D4EBA">
        <w:rPr>
          <w:rFonts w:cs="Helvetica"/>
          <w:shd w:val="clear" w:color="auto" w:fill="FFFFFF"/>
        </w:rPr>
        <w:t>:</w:t>
      </w:r>
      <w:r w:rsidR="002E6F24" w:rsidRPr="004D4EBA">
        <w:rPr>
          <w:rFonts w:cs="Helvetica"/>
          <w:shd w:val="clear" w:color="auto" w:fill="FFFFFF"/>
        </w:rPr>
        <w:br/>
      </w:r>
      <w:r w:rsidR="002E6F24" w:rsidRPr="004D4EBA">
        <w:rPr>
          <w:rFonts w:cs="Helvetica"/>
          <w:shd w:val="clear" w:color="auto" w:fill="FFFFFF"/>
        </w:rPr>
        <w:br/>
      </w:r>
      <w:r w:rsidR="004D4EBA" w:rsidRPr="004D4EBA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Użyteczność</w:t>
      </w:r>
      <w:proofErr w:type="gramEnd"/>
      <w:r w:rsidR="004D4EBA" w:rsidRPr="004D4EBA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dobra X</w:t>
      </w:r>
      <w:r w:rsidR="004D4EBA" w:rsidRPr="004D4EBA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rośnie wraz ze wzrostem konsumowanego dobra, ale przyrost ten jest coraz mniejszy. </w:t>
      </w:r>
      <w:r w:rsidR="004D4EBA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Po przekroczeniu pewnej ilości konsumowanego dobra, użyteczność całkowita spada. </w:t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br/>
      </w:r>
      <w:r w:rsidR="004D4EBA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br/>
      </w:r>
      <w:r w:rsidR="004D4EBA" w:rsidRPr="004D4EBA">
        <w:rPr>
          <w:rFonts w:ascii="Helvetica" w:hAnsi="Helvetica" w:cs="Helvetica"/>
          <w:i/>
          <w:color w:val="141823"/>
          <w:sz w:val="20"/>
          <w:szCs w:val="20"/>
          <w:u w:val="single"/>
          <w:shd w:val="clear" w:color="auto" w:fill="FFFFFF"/>
          <w:lang w:val="en-US"/>
        </w:rPr>
        <w:t>English</w:t>
      </w:r>
      <w:r w:rsidR="004D4EBA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: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U</w:t>
      </w:r>
      <w:r w:rsidR="002E6F24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tility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of good X </w:t>
      </w:r>
      <w:r w:rsidR="002E6F24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rises with the increases of goods, but the increase is getting smaller and smaller. </w:t>
      </w:r>
      <w:r w:rsidR="002E6F24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Beyond a certa</w:t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in quantity of consumed goods, utility fall</w:t>
      </w:r>
      <w:r w:rsidR="002E6F24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s. </w:t>
      </w:r>
      <w:r w:rsidR="006827AF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br/>
      </w:r>
      <w:r w:rsidR="006827AF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br/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br/>
      </w:r>
      <w:r w:rsidR="002E6F24" w:rsidRPr="002A70D0">
        <w:rPr>
          <w:rFonts w:cs="Helvetica"/>
          <w:shd w:val="clear" w:color="auto" w:fill="FFFFFF"/>
        </w:rPr>
        <w:br/>
      </w:r>
      <w:r w:rsidR="002E6F24">
        <w:rPr>
          <w:noProof/>
          <w:lang w:eastAsia="pl-PL"/>
        </w:rPr>
        <w:lastRenderedPageBreak/>
        <w:drawing>
          <wp:inline distT="0" distB="0" distL="0" distR="0">
            <wp:extent cx="5143500" cy="3495675"/>
            <wp:effectExtent l="0" t="0" r="19050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E2446" w:rsidRPr="002A70D0">
        <w:br/>
      </w:r>
      <w:r w:rsidR="00A34B18" w:rsidRPr="002A70D0">
        <w:br/>
      </w:r>
      <w:r w:rsidR="00A34B18" w:rsidRPr="002A70D0">
        <w:br/>
      </w:r>
      <w:r w:rsidR="00A34B18" w:rsidRPr="004D4EBA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Użyteczność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>dobra Y spada</w:t>
      </w:r>
      <w:r w:rsidR="00A34B18" w:rsidRPr="004D4EBA">
        <w:rPr>
          <w:rFonts w:ascii="Helvetica" w:hAnsi="Helvetica" w:cs="Helvetica"/>
          <w:color w:val="141823"/>
          <w:sz w:val="20"/>
          <w:szCs w:val="20"/>
          <w:shd w:val="clear" w:color="auto" w:fill="FFFFFF"/>
        </w:rPr>
        <w:t xml:space="preserve"> wraz ze wzrostem konsumowanego dobra, ale przyrost ten jest coraz mniejszy. </w:t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Po przekroczeniu pewnej ilości konsumowanego dobra, użyteczność rośnie. </w:t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br/>
      </w:r>
      <w:r w:rsidR="00A34B18" w:rsidRPr="002A70D0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br/>
      </w:r>
      <w:r w:rsidR="00A34B18" w:rsidRPr="004D4EBA">
        <w:rPr>
          <w:rFonts w:ascii="Helvetica" w:hAnsi="Helvetica" w:cs="Helvetica"/>
          <w:i/>
          <w:color w:val="141823"/>
          <w:sz w:val="20"/>
          <w:szCs w:val="20"/>
          <w:u w:val="single"/>
          <w:shd w:val="clear" w:color="auto" w:fill="FFFFFF"/>
          <w:lang w:val="en-US"/>
        </w:rPr>
        <w:t>English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: U</w:t>
      </w:r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tility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of good Y falls with the increase</w:t>
      </w:r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 of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quantity of good Y</w:t>
      </w:r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, but the increase is getting smaller and smaller. Beyond a certain quantity of </w:t>
      </w:r>
      <w:proofErr w:type="spellStart"/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consumed</w:t>
      </w:r>
      <w:proofErr w:type="spellEnd"/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 goods, utility </w:t>
      </w:r>
      <w:r w:rsidR="00A34B18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>rises</w:t>
      </w:r>
      <w:r w:rsidR="00A34B18" w:rsidRPr="002E6F24"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  <w:t xml:space="preserve">. </w:t>
      </w:r>
      <w:r w:rsidR="00647E38" w:rsidRPr="001C0B3D">
        <w:rPr>
          <w:lang w:val="en-US"/>
        </w:rPr>
        <w:br/>
      </w:r>
      <w:r w:rsidR="00A34B18">
        <w:rPr>
          <w:lang w:val="en-US"/>
        </w:rPr>
        <w:br/>
      </w:r>
      <w:r w:rsidR="00A34B18">
        <w:rPr>
          <w:lang w:val="en-US"/>
        </w:rPr>
        <w:br/>
      </w:r>
    </w:p>
    <w:tbl>
      <w:tblPr>
        <w:tblpPr w:leftFromText="141" w:rightFromText="141" w:vertAnchor="text" w:horzAnchor="margin" w:tblpY="117"/>
        <w:tblW w:w="9320" w:type="dxa"/>
        <w:tblCellMar>
          <w:left w:w="70" w:type="dxa"/>
          <w:right w:w="70" w:type="dxa"/>
        </w:tblCellMar>
        <w:tblLook w:val="04A0"/>
      </w:tblPr>
      <w:tblGrid>
        <w:gridCol w:w="3340"/>
        <w:gridCol w:w="1340"/>
        <w:gridCol w:w="960"/>
        <w:gridCol w:w="960"/>
        <w:gridCol w:w="1180"/>
        <w:gridCol w:w="1540"/>
      </w:tblGrid>
      <w:tr w:rsidR="00A34B18" w:rsidRPr="004D4EBA" w:rsidTr="00EE4272">
        <w:trPr>
          <w:trHeight w:val="255"/>
        </w:trPr>
        <w:tc>
          <w:tcPr>
            <w:tcW w:w="3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Użyteczność całkowita TU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A34B18" w:rsidRPr="004D4EBA" w:rsidRDefault="00A34B18" w:rsidP="00EE42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4E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7,2</w:t>
            </w:r>
          </w:p>
        </w:tc>
      </w:tr>
    </w:tbl>
    <w:p w:rsidR="006C5852" w:rsidRPr="0000234E" w:rsidRDefault="00416E99" w:rsidP="00912AD3">
      <w:pPr>
        <w:rPr>
          <w:rFonts w:ascii="Helvetica" w:hAnsi="Helvetica" w:cs="Helvetica"/>
          <w:color w:val="141823"/>
          <w:sz w:val="20"/>
          <w:szCs w:val="20"/>
          <w:shd w:val="clear" w:color="auto" w:fill="FFFFFF"/>
          <w:lang w:val="en-US"/>
        </w:rPr>
      </w:pPr>
      <w:r w:rsidRPr="00A34B18">
        <w:br/>
      </w:r>
      <w:r w:rsidR="00A34B18" w:rsidRPr="00A34B18">
        <w:br/>
        <w:t>Użyteczność całkowita rośnie wraz ze wzrostem ilości kon</w:t>
      </w:r>
      <w:r w:rsidR="00A34B18">
        <w:t>s</w:t>
      </w:r>
      <w:r w:rsidR="00A34B18" w:rsidRPr="00A34B18">
        <w:t>umowanych dóbr</w:t>
      </w:r>
      <w:r w:rsidR="006827AF">
        <w:t xml:space="preserve">, lecz po przekroczeniu pewnej ilości, użyteczność ta zaczyna spadać. </w:t>
      </w:r>
      <w:r w:rsidR="0000234E">
        <w:br/>
      </w:r>
      <w:r w:rsidR="0000234E">
        <w:br/>
      </w:r>
      <w:r w:rsidR="0000234E" w:rsidRPr="0000234E">
        <w:rPr>
          <w:i/>
          <w:u w:val="single"/>
          <w:lang w:val="en-US"/>
        </w:rPr>
        <w:t>English:</w:t>
      </w:r>
      <w:r w:rsidR="0000234E" w:rsidRPr="0000234E">
        <w:rPr>
          <w:lang w:val="en-US"/>
        </w:rPr>
        <w:t xml:space="preserve">  Total utility rises with the increase of quantity consumed good, but in one point it starts to fall.</w:t>
      </w:r>
      <w:bookmarkStart w:id="0" w:name="_GoBack"/>
      <w:bookmarkEnd w:id="0"/>
    </w:p>
    <w:sectPr w:rsidR="006C5852" w:rsidRPr="0000234E" w:rsidSect="001E244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DF" w:rsidRDefault="001153DF" w:rsidP="00647E38">
      <w:pPr>
        <w:spacing w:after="0" w:line="240" w:lineRule="auto"/>
      </w:pPr>
      <w:r>
        <w:separator/>
      </w:r>
    </w:p>
  </w:endnote>
  <w:endnote w:type="continuationSeparator" w:id="0">
    <w:p w:rsidR="001153DF" w:rsidRDefault="001153DF" w:rsidP="0064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DF" w:rsidRDefault="001153DF" w:rsidP="00647E38">
      <w:pPr>
        <w:spacing w:after="0" w:line="240" w:lineRule="auto"/>
      </w:pPr>
      <w:r>
        <w:separator/>
      </w:r>
    </w:p>
  </w:footnote>
  <w:footnote w:type="continuationSeparator" w:id="0">
    <w:p w:rsidR="001153DF" w:rsidRDefault="001153DF" w:rsidP="00647E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492"/>
    <w:rsid w:val="0000234E"/>
    <w:rsid w:val="001153DF"/>
    <w:rsid w:val="001459CE"/>
    <w:rsid w:val="001C0B3D"/>
    <w:rsid w:val="001E2446"/>
    <w:rsid w:val="002A70D0"/>
    <w:rsid w:val="002E6F24"/>
    <w:rsid w:val="003B0F2D"/>
    <w:rsid w:val="00416E99"/>
    <w:rsid w:val="004D4EBA"/>
    <w:rsid w:val="0062071F"/>
    <w:rsid w:val="00647E38"/>
    <w:rsid w:val="006827AF"/>
    <w:rsid w:val="006C5852"/>
    <w:rsid w:val="00836915"/>
    <w:rsid w:val="00912AD3"/>
    <w:rsid w:val="009E0492"/>
    <w:rsid w:val="00A34B18"/>
    <w:rsid w:val="00B42529"/>
    <w:rsid w:val="00B94CF6"/>
    <w:rsid w:val="00D35E40"/>
    <w:rsid w:val="00E642D3"/>
    <w:rsid w:val="00F5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A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E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AD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7E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7E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7E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ina\Desktop\MMikro-v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ina\Desktop\MMikro-v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lina\Desktop\MMikro-v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Krzywa</a:t>
            </a:r>
            <a:r>
              <a:rPr lang="pl-PL" sz="1100" baseline="0"/>
              <a:t> obojętności I i linia budżetowa BL</a:t>
            </a:r>
            <a:endParaRPr lang="pl-PL" sz="1100"/>
          </a:p>
        </c:rich>
      </c:tx>
      <c:layout>
        <c:manualLayout>
          <c:xMode val="edge"/>
          <c:yMode val="edge"/>
          <c:x val="0.1239336381097869"/>
          <c:y val="2.455868888481963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770156829569862"/>
          <c:y val="0.1486891022183871"/>
          <c:w val="0.58483031807704411"/>
          <c:h val="0.72117090288413765"/>
        </c:manualLayout>
      </c:layout>
      <c:scatterChart>
        <c:scatterStyle val="lineMarker"/>
        <c:ser>
          <c:idx val="0"/>
          <c:order val="0"/>
          <c:tx>
            <c:strRef>
              <c:f>'[MMikro-v1.xls]6 I-BL-U'!$L$6</c:f>
              <c:strCache>
                <c:ptCount val="1"/>
                <c:pt idx="0">
                  <c:v>Ramka2 - Co chcemy kupić</c:v>
                </c:pt>
              </c:strCache>
            </c:strRef>
          </c:tx>
          <c:spPr>
            <a:ln w="28575">
              <a:noFill/>
            </a:ln>
          </c:spPr>
          <c:marker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'[MMikro-v1.xls]6 I-BL-U'!$M$10:$Q$10</c:f>
              <c:numCache>
                <c:formatCode>General</c:formatCode>
                <c:ptCount val="5"/>
                <c:pt idx="0">
                  <c:v>90</c:v>
                </c:pt>
                <c:pt idx="1">
                  <c:v>70</c:v>
                </c:pt>
                <c:pt idx="2">
                  <c:v>50</c:v>
                </c:pt>
                <c:pt idx="3">
                  <c:v>30</c:v>
                </c:pt>
                <c:pt idx="4">
                  <c:v>20</c:v>
                </c:pt>
              </c:numCache>
            </c:numRef>
          </c:xVal>
          <c:yVal>
            <c:numRef>
              <c:f>'[MMikro-v1.xls]6 I-BL-U'!$M$11:$Q$11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30</c:v>
                </c:pt>
                <c:pt idx="3">
                  <c:v>50</c:v>
                </c:pt>
                <c:pt idx="4">
                  <c:v>80</c:v>
                </c:pt>
              </c:numCache>
            </c:numRef>
          </c:yVal>
        </c:ser>
        <c:ser>
          <c:idx val="1"/>
          <c:order val="1"/>
          <c:tx>
            <c:v>BL</c:v>
          </c:tx>
          <c:spPr>
            <a:ln w="28575">
              <a:noFill/>
            </a:ln>
          </c:spPr>
          <c:marker>
            <c:symbol val="square"/>
            <c:size val="4"/>
            <c:spPr>
              <a:solidFill>
                <a:schemeClr val="accent2"/>
              </a:solidFill>
              <a:ln w="9525" cap="flat" cmpd="sng" algn="ctr">
                <a:solidFill>
                  <a:schemeClr val="accent2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trendline>
            <c:spPr>
              <a:ln w="28575" cap="rnd" cmpd="sng" algn="ctr">
                <a:solidFill>
                  <a:schemeClr val="accent5">
                    <a:lumMod val="75000"/>
                  </a:schemeClr>
                </a:solidFill>
                <a:prstDash val="solid"/>
                <a:round/>
              </a:ln>
              <a:effectLst/>
            </c:spPr>
            <c:trendlineType val="linear"/>
          </c:trendline>
          <c:xVal>
            <c:numRef>
              <c:f>'[MMikro-v1.xls]6 I-BL-U'!$C$23:$G$23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55</c:v>
                </c:pt>
              </c:numCache>
            </c:numRef>
          </c:xVal>
          <c:yVal>
            <c:numRef>
              <c:f>'[MMikro-v1.xls]6 I-BL-U'!$C$24:$G$24</c:f>
              <c:numCache>
                <c:formatCode>0.0</c:formatCode>
                <c:ptCount val="5"/>
                <c:pt idx="0">
                  <c:v>110</c:v>
                </c:pt>
                <c:pt idx="1">
                  <c:v>108</c:v>
                </c:pt>
                <c:pt idx="2">
                  <c:v>106</c:v>
                </c:pt>
                <c:pt idx="3">
                  <c:v>104</c:v>
                </c:pt>
                <c:pt idx="4">
                  <c:v>0</c:v>
                </c:pt>
              </c:numCache>
            </c:numRef>
          </c:yVal>
        </c:ser>
        <c:axId val="64753024"/>
        <c:axId val="64759296"/>
      </c:scatterChart>
      <c:scatterChart>
        <c:scatterStyle val="smoothMarker"/>
        <c:ser>
          <c:idx val="2"/>
          <c:order val="2"/>
          <c:tx>
            <c:v>regresja hiperboliczna</c:v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3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xVal>
            <c:numRef>
              <c:f>'[MMikro-v1.xls]6 I-BL-U'!$AH$13:$AL$13</c:f>
              <c:numCache>
                <c:formatCode>General</c:formatCode>
                <c:ptCount val="5"/>
                <c:pt idx="0">
                  <c:v>90</c:v>
                </c:pt>
                <c:pt idx="1">
                  <c:v>70</c:v>
                </c:pt>
                <c:pt idx="2">
                  <c:v>50</c:v>
                </c:pt>
                <c:pt idx="3">
                  <c:v>30</c:v>
                </c:pt>
                <c:pt idx="4">
                  <c:v>20</c:v>
                </c:pt>
              </c:numCache>
            </c:numRef>
          </c:xVal>
          <c:yVal>
            <c:numRef>
              <c:f>'[MMikro-v1.xls]6 I-BL-U'!$AH$14:$AL$14</c:f>
              <c:numCache>
                <c:formatCode>General</c:formatCode>
                <c:ptCount val="5"/>
                <c:pt idx="0">
                  <c:v>18.596766100627676</c:v>
                </c:pt>
                <c:pt idx="1">
                  <c:v>23.45646976643512</c:v>
                </c:pt>
                <c:pt idx="2">
                  <c:v>32.203936364888548</c:v>
                </c:pt>
                <c:pt idx="3">
                  <c:v>52.614691761279758</c:v>
                </c:pt>
                <c:pt idx="4">
                  <c:v>78.128136006768756</c:v>
                </c:pt>
              </c:numCache>
            </c:numRef>
          </c:yVal>
          <c:smooth val="1"/>
        </c:ser>
        <c:axId val="64753024"/>
        <c:axId val="64759296"/>
      </c:scatterChart>
      <c:valAx>
        <c:axId val="64753024"/>
        <c:scaling>
          <c:orientation val="minMax"/>
        </c:scaling>
        <c:axPos val="b"/>
        <c:majorGridlines>
          <c:spPr>
            <a:ln w="9525" cap="flat" cmpd="sng" algn="ctr">
              <a:solidFill>
                <a:srgbClr val="4F81BD">
                  <a:alpha val="40000"/>
                </a:srgbClr>
              </a:solidFill>
              <a:prstDash val="sysDot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4759296"/>
        <c:crosses val="autoZero"/>
        <c:crossBetween val="midCat"/>
      </c:valAx>
      <c:valAx>
        <c:axId val="64759296"/>
        <c:scaling>
          <c:orientation val="minMax"/>
        </c:scaling>
        <c:axPos val="l"/>
        <c:majorGridlines>
          <c:spPr>
            <a:ln w="9525" cap="flat" cmpd="sng" algn="ctr">
              <a:solidFill>
                <a:srgbClr val="4F81BD">
                  <a:alpha val="38000"/>
                </a:srgbClr>
              </a:solidFill>
              <a:prstDash val="sysDot"/>
              <a:round/>
            </a:ln>
            <a:effectLst/>
          </c:spPr>
        </c:majorGridlines>
        <c:numFmt formatCode="General" sourceLinked="1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753024"/>
        <c:crosses val="autoZero"/>
        <c:crossBetween val="midCat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</c:legendEntry>
      <c:layout>
        <c:manualLayout>
          <c:xMode val="edge"/>
          <c:yMode val="edge"/>
          <c:x val="0.78648035614663669"/>
          <c:y val="8.7843496307147648E-2"/>
          <c:w val="0.21087295614439075"/>
          <c:h val="0.91201367270951605"/>
        </c:manualLayout>
      </c:layout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pl-PL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 sz="1200" b="1" i="0" baseline="0"/>
              <a:t>użyteczność U(Qx) i MU(Qx)</a:t>
            </a:r>
            <a:endParaRPr lang="pl-PL" sz="1200"/>
          </a:p>
        </c:rich>
      </c:tx>
      <c:layout>
        <c:manualLayout>
          <c:xMode val="edge"/>
          <c:yMode val="edge"/>
          <c:x val="0.10642360614014162"/>
          <c:y val="4.6296316408724773E-2"/>
        </c:manualLayout>
      </c:layout>
    </c:title>
    <c:plotArea>
      <c:layout/>
      <c:scatterChart>
        <c:scatterStyle val="lineMarker"/>
        <c:ser>
          <c:idx val="0"/>
          <c:order val="0"/>
          <c:tx>
            <c:v>uzyteczność Qx</c:v>
          </c:tx>
          <c:spPr>
            <a:ln w="28575">
              <a:noFill/>
            </a:ln>
          </c:spPr>
          <c:trendline>
            <c:trendlineType val="poly"/>
            <c:order val="2"/>
            <c:dispEq val="1"/>
            <c:trendlineLbl>
              <c:layout>
                <c:manualLayout>
                  <c:x val="0.44198180880025573"/>
                  <c:y val="-0.1522654881277187"/>
                </c:manualLayout>
              </c:layout>
              <c:numFmt formatCode="General" sourceLinked="0"/>
            </c:trendlineLbl>
          </c:trendline>
          <c:xVal>
            <c:numRef>
              <c:f>'6 I-BL-U'!$E$39:$I$39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55</c:v>
                </c:pt>
              </c:numCache>
            </c:numRef>
          </c:xVal>
          <c:yVal>
            <c:numRef>
              <c:f>'6 I-BL-U'!$E$38:$I$38</c:f>
              <c:numCache>
                <c:formatCode>0.0</c:formatCode>
                <c:ptCount val="5"/>
                <c:pt idx="0">
                  <c:v>2</c:v>
                </c:pt>
                <c:pt idx="1">
                  <c:v>3.1</c:v>
                </c:pt>
                <c:pt idx="2">
                  <c:v>4.2</c:v>
                </c:pt>
                <c:pt idx="3">
                  <c:v>5.2</c:v>
                </c:pt>
                <c:pt idx="4">
                  <c:v>5.3</c:v>
                </c:pt>
              </c:numCache>
            </c:numRef>
          </c:yVal>
        </c:ser>
        <c:axId val="64778624"/>
        <c:axId val="64780160"/>
      </c:scatterChart>
      <c:scatterChart>
        <c:scatterStyle val="smoothMarker"/>
        <c:ser>
          <c:idx val="1"/>
          <c:order val="1"/>
          <c:tx>
            <c:v>użyteczność marginalna Qx</c:v>
          </c:tx>
          <c:spPr>
            <a:ln w="15875"/>
          </c:spPr>
          <c:marker>
            <c:symbol val="square"/>
            <c:size val="5"/>
          </c:marker>
          <c:xVal>
            <c:numRef>
              <c:f>'6 I-BL-U'!$E$39:$H$39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xVal>
          <c:yVal>
            <c:numRef>
              <c:f>'6 I-BL-U'!$E$45:$H$45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1.1000000000000001</c:v>
                </c:pt>
                <c:pt idx="2">
                  <c:v>1</c:v>
                </c:pt>
                <c:pt idx="3">
                  <c:v>1.9230769230769188E-3</c:v>
                </c:pt>
              </c:numCache>
            </c:numRef>
          </c:yVal>
          <c:smooth val="1"/>
        </c:ser>
        <c:axId val="64778624"/>
        <c:axId val="64780160"/>
      </c:scatterChart>
      <c:valAx>
        <c:axId val="64778624"/>
        <c:scaling>
          <c:orientation val="minMax"/>
        </c:scaling>
        <c:axPos val="b"/>
        <c:majorGridlines>
          <c:spPr>
            <a:ln>
              <a:solidFill>
                <a:srgbClr val="4F81BD">
                  <a:alpha val="42000"/>
                </a:srgbClr>
              </a:solidFill>
              <a:prstDash val="sysDot"/>
            </a:ln>
          </c:spPr>
        </c:majorGridlines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4780160"/>
        <c:crosses val="autoZero"/>
        <c:crossBetween val="midCat"/>
      </c:valAx>
      <c:valAx>
        <c:axId val="64780160"/>
        <c:scaling>
          <c:orientation val="minMax"/>
        </c:scaling>
        <c:axPos val="l"/>
        <c:majorGridlines>
          <c:spPr>
            <a:ln>
              <a:solidFill>
                <a:srgbClr val="4F81BD">
                  <a:alpha val="38000"/>
                </a:srgbClr>
              </a:solidFill>
              <a:prstDash val="sysDot"/>
            </a:ln>
          </c:spPr>
        </c:majorGridlines>
        <c:numFmt formatCode="0.0" sourceLinked="1"/>
        <c:tickLblPos val="nextTo"/>
        <c:crossAx val="6477862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5995245358728105"/>
          <c:y val="0.18189559638378536"/>
          <c:w val="0.32608594082807746"/>
          <c:h val="0.53600304591555659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title>
      <c:tx>
        <c:rich>
          <a:bodyPr/>
          <a:lstStyle/>
          <a:p>
            <a:pPr>
              <a:defRPr/>
            </a:pPr>
            <a:r>
              <a:rPr lang="pl-PL" sz="1200"/>
              <a:t>użyteczność U(Qy) i MU(Qy)</a:t>
            </a:r>
          </a:p>
        </c:rich>
      </c:tx>
      <c:layout>
        <c:manualLayout>
          <c:xMode val="edge"/>
          <c:yMode val="edge"/>
          <c:x val="8.1326349036878978E-2"/>
          <c:y val="4.166680195903353E-2"/>
        </c:manualLayout>
      </c:layout>
    </c:title>
    <c:plotArea>
      <c:layout>
        <c:manualLayout>
          <c:layoutTarget val="inner"/>
          <c:xMode val="edge"/>
          <c:yMode val="edge"/>
          <c:x val="0.11365507436570428"/>
          <c:y val="0.16714129483814524"/>
          <c:w val="0.66066426071741069"/>
          <c:h val="0.71224919801691455"/>
        </c:manualLayout>
      </c:layout>
      <c:scatterChart>
        <c:scatterStyle val="lineMarker"/>
        <c:ser>
          <c:idx val="0"/>
          <c:order val="0"/>
          <c:spPr>
            <a:ln w="28575">
              <a:noFill/>
            </a:ln>
          </c:spPr>
          <c:trendline>
            <c:trendlineType val="poly"/>
            <c:order val="2"/>
            <c:dispEq val="1"/>
            <c:trendlineLbl>
              <c:layout>
                <c:manualLayout>
                  <c:x val="0.38423662084612303"/>
                  <c:y val="-0.15881585469044468"/>
                </c:manualLayout>
              </c:layout>
              <c:numFmt formatCode="General" sourceLinked="0"/>
            </c:trendlineLbl>
          </c:trendline>
          <c:xVal>
            <c:numRef>
              <c:f>'6 I-BL-U'!$E$40:$I$40</c:f>
              <c:numCache>
                <c:formatCode>0.0</c:formatCode>
                <c:ptCount val="5"/>
                <c:pt idx="0">
                  <c:v>110</c:v>
                </c:pt>
                <c:pt idx="1">
                  <c:v>108</c:v>
                </c:pt>
                <c:pt idx="2">
                  <c:v>106</c:v>
                </c:pt>
                <c:pt idx="3">
                  <c:v>104</c:v>
                </c:pt>
                <c:pt idx="4">
                  <c:v>0</c:v>
                </c:pt>
              </c:numCache>
            </c:numRef>
          </c:xVal>
          <c:yVal>
            <c:numRef>
              <c:f>'6 I-BL-U'!$E$41:$I$41</c:f>
              <c:numCache>
                <c:formatCode>0.0</c:formatCode>
                <c:ptCount val="5"/>
                <c:pt idx="0">
                  <c:v>4.9000000000000004</c:v>
                </c:pt>
                <c:pt idx="1">
                  <c:v>5.4</c:v>
                </c:pt>
                <c:pt idx="2">
                  <c:v>4.0999999999999996</c:v>
                </c:pt>
                <c:pt idx="3">
                  <c:v>2.5</c:v>
                </c:pt>
                <c:pt idx="4">
                  <c:v>1.9000000000000001</c:v>
                </c:pt>
              </c:numCache>
            </c:numRef>
          </c:yVal>
        </c:ser>
        <c:axId val="66170240"/>
        <c:axId val="66176128"/>
      </c:scatterChart>
      <c:scatterChart>
        <c:scatterStyle val="smoothMarker"/>
        <c:ser>
          <c:idx val="1"/>
          <c:order val="1"/>
          <c:tx>
            <c:v>użyteczność marginalna Qy</c:v>
          </c:tx>
          <c:spPr>
            <a:ln w="15875"/>
          </c:spPr>
          <c:xVal>
            <c:numRef>
              <c:f>'6 I-BL-U'!$F$40:$I$40</c:f>
              <c:numCache>
                <c:formatCode>0.0</c:formatCode>
                <c:ptCount val="4"/>
                <c:pt idx="0">
                  <c:v>108</c:v>
                </c:pt>
                <c:pt idx="1">
                  <c:v>106</c:v>
                </c:pt>
                <c:pt idx="2">
                  <c:v>104</c:v>
                </c:pt>
                <c:pt idx="3">
                  <c:v>0</c:v>
                </c:pt>
              </c:numCache>
            </c:numRef>
          </c:xVal>
          <c:yVal>
            <c:numRef>
              <c:f>'6 I-BL-U'!$F$46:$I$46</c:f>
              <c:numCache>
                <c:formatCode>0.00</c:formatCode>
                <c:ptCount val="4"/>
                <c:pt idx="0">
                  <c:v>-0.25</c:v>
                </c:pt>
                <c:pt idx="1">
                  <c:v>0.65000000000000102</c:v>
                </c:pt>
                <c:pt idx="2">
                  <c:v>0.79999999999999982</c:v>
                </c:pt>
                <c:pt idx="3">
                  <c:v>5.7692307692307739E-3</c:v>
                </c:pt>
              </c:numCache>
            </c:numRef>
          </c:yVal>
          <c:smooth val="1"/>
        </c:ser>
        <c:axId val="66170240"/>
        <c:axId val="66176128"/>
      </c:scatterChart>
      <c:valAx>
        <c:axId val="66170240"/>
        <c:scaling>
          <c:orientation val="minMax"/>
        </c:scaling>
        <c:axPos val="b"/>
        <c:majorGridlines>
          <c:spPr>
            <a:ln>
              <a:solidFill>
                <a:srgbClr val="4F81BD">
                  <a:alpha val="43000"/>
                </a:srgbClr>
              </a:solidFill>
              <a:prstDash val="sysDot"/>
            </a:ln>
          </c:spPr>
        </c:majorGridlines>
        <c:numFmt formatCode="0.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66176128"/>
        <c:crosses val="autoZero"/>
        <c:crossBetween val="midCat"/>
      </c:valAx>
      <c:valAx>
        <c:axId val="66176128"/>
        <c:scaling>
          <c:orientation val="minMax"/>
        </c:scaling>
        <c:axPos val="l"/>
        <c:majorGridlines>
          <c:spPr>
            <a:ln>
              <a:solidFill>
                <a:srgbClr val="4F81BD">
                  <a:alpha val="40000"/>
                </a:srgbClr>
              </a:solidFill>
              <a:prstDash val="sysDot"/>
            </a:ln>
          </c:spPr>
        </c:majorGridlines>
        <c:numFmt formatCode="0.0" sourceLinked="1"/>
        <c:tickLblPos val="nextTo"/>
        <c:crossAx val="66170240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4119646155341734"/>
          <c:y val="0.58928704756592021"/>
          <c:w val="0.22917390881695338"/>
          <c:h val="0.3760126441960425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567A-50F6-4EDF-BC7D-2088DD67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473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 </cp:lastModifiedBy>
  <cp:revision>2</cp:revision>
  <dcterms:created xsi:type="dcterms:W3CDTF">2016-02-03T11:43:00Z</dcterms:created>
  <dcterms:modified xsi:type="dcterms:W3CDTF">2016-02-03T11:43:00Z</dcterms:modified>
</cp:coreProperties>
</file>