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4C1" w:rsidRPr="00050B0B" w:rsidRDefault="00050B0B" w:rsidP="00050B0B">
      <w:pPr>
        <w:jc w:val="center"/>
        <w:rPr>
          <w:b/>
          <w:sz w:val="36"/>
        </w:rPr>
      </w:pPr>
      <w:bookmarkStart w:id="0" w:name="_GoBack"/>
      <w:bookmarkEnd w:id="0"/>
      <w:r w:rsidRPr="00050B0B">
        <w:rPr>
          <w:b/>
          <w:sz w:val="36"/>
        </w:rPr>
        <w:t xml:space="preserve">Analiza zmiany optymalnego koszyka dóbr </w:t>
      </w:r>
      <w:r w:rsidR="00826EB6">
        <w:rPr>
          <w:b/>
          <w:sz w:val="36"/>
        </w:rPr>
        <w:t>przy</w:t>
      </w:r>
      <w:r w:rsidRPr="00050B0B">
        <w:rPr>
          <w:b/>
          <w:sz w:val="36"/>
        </w:rPr>
        <w:t xml:space="preserve"> jednoczesnej zmiany ceny i dochodu</w:t>
      </w:r>
    </w:p>
    <w:p w:rsidR="00A04D29" w:rsidRDefault="00A04D29">
      <w:r w:rsidRPr="00A04D29">
        <w:rPr>
          <w:b/>
        </w:rPr>
        <w:t>Źródło:</w:t>
      </w:r>
      <w:r>
        <w:t xml:space="preserve"> Paul </w:t>
      </w:r>
      <w:proofErr w:type="spellStart"/>
      <w:r>
        <w:t>Krugman</w:t>
      </w:r>
      <w:proofErr w:type="spellEnd"/>
      <w:r>
        <w:t xml:space="preserve">, Robin Wells </w:t>
      </w:r>
      <w:r w:rsidRPr="00A04D29">
        <w:rPr>
          <w:i/>
        </w:rPr>
        <w:t>Mikroekonomia</w:t>
      </w:r>
      <w:r>
        <w:rPr>
          <w:i/>
        </w:rPr>
        <w:t xml:space="preserve"> </w:t>
      </w:r>
      <w:r w:rsidRPr="00A04D29">
        <w:t>(2010)</w:t>
      </w:r>
      <w:r w:rsidR="00050B0B">
        <w:t xml:space="preserve"> zad. 11 </w:t>
      </w:r>
      <w:proofErr w:type="gramStart"/>
      <w:r w:rsidR="00050B0B">
        <w:t>str</w:t>
      </w:r>
      <w:proofErr w:type="gramEnd"/>
      <w:r w:rsidR="00050B0B">
        <w:t>.530</w:t>
      </w:r>
      <w:r w:rsidR="00F20880">
        <w:t xml:space="preserve"> – zmodyfikowane na potrzeby programu</w:t>
      </w:r>
    </w:p>
    <w:p w:rsidR="00A04D29" w:rsidRDefault="00A04D29">
      <w:r w:rsidRPr="00317C70">
        <w:rPr>
          <w:b/>
        </w:rPr>
        <w:t>Treść:</w:t>
      </w:r>
      <w:r>
        <w:t xml:space="preserve"> Tytus maksymalizuje użyteczność. Jego dochód wynosi 10</w:t>
      </w:r>
      <w:r w:rsidR="00F20880">
        <w:t>1</w:t>
      </w:r>
      <w:r>
        <w:t xml:space="preserve"> USD i może je wydawać na posiłki w stołówce lub na notesy. Każdy posiłek kosztuje 5 USD, a notes 2 USD.  Szereg obojętności przedstawiono w tabelce: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A04D29" w:rsidTr="00A04D29">
        <w:tc>
          <w:tcPr>
            <w:tcW w:w="1535" w:type="dxa"/>
            <w:vMerge w:val="restart"/>
          </w:tcPr>
          <w:p w:rsidR="00A04D29" w:rsidRDefault="00A04D29"/>
        </w:tc>
        <w:tc>
          <w:tcPr>
            <w:tcW w:w="7677" w:type="dxa"/>
            <w:gridSpan w:val="5"/>
          </w:tcPr>
          <w:p w:rsidR="00A04D29" w:rsidRPr="00A04D29" w:rsidRDefault="00A04D29" w:rsidP="00A04D29">
            <w:pPr>
              <w:rPr>
                <w:b/>
              </w:rPr>
            </w:pPr>
            <w:r w:rsidRPr="00A04D29">
              <w:rPr>
                <w:b/>
              </w:rPr>
              <w:t>Koszyki Tytusa</w:t>
            </w:r>
          </w:p>
        </w:tc>
      </w:tr>
      <w:tr w:rsidR="00A04D29" w:rsidTr="00A04D29">
        <w:tc>
          <w:tcPr>
            <w:tcW w:w="1535" w:type="dxa"/>
            <w:vMerge/>
          </w:tcPr>
          <w:p w:rsidR="00A04D29" w:rsidRDefault="00A04D29"/>
        </w:tc>
        <w:tc>
          <w:tcPr>
            <w:tcW w:w="1535" w:type="dxa"/>
          </w:tcPr>
          <w:p w:rsidR="00A04D29" w:rsidRPr="00A04D29" w:rsidRDefault="00A04D29" w:rsidP="00A04D29">
            <w:pPr>
              <w:jc w:val="center"/>
              <w:rPr>
                <w:b/>
              </w:rPr>
            </w:pPr>
            <w:r w:rsidRPr="00A04D29">
              <w:rPr>
                <w:b/>
              </w:rPr>
              <w:t>1</w:t>
            </w:r>
          </w:p>
        </w:tc>
        <w:tc>
          <w:tcPr>
            <w:tcW w:w="1535" w:type="dxa"/>
          </w:tcPr>
          <w:p w:rsidR="00A04D29" w:rsidRPr="00A04D29" w:rsidRDefault="00A04D29" w:rsidP="00A04D29">
            <w:pPr>
              <w:jc w:val="center"/>
              <w:rPr>
                <w:b/>
              </w:rPr>
            </w:pPr>
            <w:r w:rsidRPr="00A04D29">
              <w:rPr>
                <w:b/>
              </w:rPr>
              <w:t>2</w:t>
            </w:r>
          </w:p>
        </w:tc>
        <w:tc>
          <w:tcPr>
            <w:tcW w:w="1535" w:type="dxa"/>
          </w:tcPr>
          <w:p w:rsidR="00A04D29" w:rsidRPr="00A04D29" w:rsidRDefault="00A04D29" w:rsidP="00A04D29">
            <w:pPr>
              <w:jc w:val="center"/>
              <w:rPr>
                <w:b/>
              </w:rPr>
            </w:pPr>
            <w:r w:rsidRPr="00A04D29">
              <w:rPr>
                <w:b/>
              </w:rPr>
              <w:t>3</w:t>
            </w:r>
          </w:p>
        </w:tc>
        <w:tc>
          <w:tcPr>
            <w:tcW w:w="1536" w:type="dxa"/>
          </w:tcPr>
          <w:p w:rsidR="00A04D29" w:rsidRPr="00A04D29" w:rsidRDefault="00A04D29" w:rsidP="00A04D29">
            <w:pPr>
              <w:jc w:val="center"/>
              <w:rPr>
                <w:b/>
              </w:rPr>
            </w:pPr>
            <w:r w:rsidRPr="00A04D29">
              <w:rPr>
                <w:b/>
              </w:rPr>
              <w:t>4</w:t>
            </w:r>
          </w:p>
        </w:tc>
        <w:tc>
          <w:tcPr>
            <w:tcW w:w="1536" w:type="dxa"/>
          </w:tcPr>
          <w:p w:rsidR="00A04D29" w:rsidRPr="00A04D29" w:rsidRDefault="00A04D29" w:rsidP="00A04D29">
            <w:pPr>
              <w:jc w:val="center"/>
              <w:rPr>
                <w:b/>
              </w:rPr>
            </w:pPr>
            <w:r w:rsidRPr="00A04D29">
              <w:rPr>
                <w:b/>
              </w:rPr>
              <w:t>5</w:t>
            </w:r>
          </w:p>
        </w:tc>
      </w:tr>
      <w:tr w:rsidR="00A04D29" w:rsidTr="00A04D29">
        <w:tc>
          <w:tcPr>
            <w:tcW w:w="1535" w:type="dxa"/>
          </w:tcPr>
          <w:p w:rsidR="00A04D29" w:rsidRPr="00A04D29" w:rsidRDefault="00A04D29" w:rsidP="00A04D29">
            <w:proofErr w:type="spellStart"/>
            <w:r>
              <w:t>Q</w:t>
            </w:r>
            <w:r>
              <w:rPr>
                <w:vertAlign w:val="subscript"/>
              </w:rPr>
              <w:t>x</w:t>
            </w:r>
            <w:proofErr w:type="spellEnd"/>
          </w:p>
        </w:tc>
        <w:tc>
          <w:tcPr>
            <w:tcW w:w="1535" w:type="dxa"/>
          </w:tcPr>
          <w:p w:rsidR="00A04D29" w:rsidRDefault="00A04D29" w:rsidP="00A04D29">
            <w:r>
              <w:t>24</w:t>
            </w:r>
          </w:p>
        </w:tc>
        <w:tc>
          <w:tcPr>
            <w:tcW w:w="1535" w:type="dxa"/>
          </w:tcPr>
          <w:p w:rsidR="00A04D29" w:rsidRDefault="00A04D29" w:rsidP="00A04D29">
            <w:r>
              <w:t>20</w:t>
            </w:r>
          </w:p>
        </w:tc>
        <w:tc>
          <w:tcPr>
            <w:tcW w:w="1535" w:type="dxa"/>
          </w:tcPr>
          <w:p w:rsidR="00A04D29" w:rsidRDefault="00A04D29" w:rsidP="00A04D29">
            <w:r>
              <w:t>16</w:t>
            </w:r>
          </w:p>
        </w:tc>
        <w:tc>
          <w:tcPr>
            <w:tcW w:w="1536" w:type="dxa"/>
          </w:tcPr>
          <w:p w:rsidR="00A04D29" w:rsidRDefault="00A04D29" w:rsidP="00A04D29">
            <w:r>
              <w:t>12</w:t>
            </w:r>
          </w:p>
        </w:tc>
        <w:tc>
          <w:tcPr>
            <w:tcW w:w="1536" w:type="dxa"/>
          </w:tcPr>
          <w:p w:rsidR="00A04D29" w:rsidRDefault="00A04D29" w:rsidP="00A04D29">
            <w:r>
              <w:t>8</w:t>
            </w:r>
          </w:p>
        </w:tc>
      </w:tr>
      <w:tr w:rsidR="00A04D29" w:rsidTr="00A04D29">
        <w:tc>
          <w:tcPr>
            <w:tcW w:w="1535" w:type="dxa"/>
          </w:tcPr>
          <w:p w:rsidR="00A04D29" w:rsidRPr="00A04D29" w:rsidRDefault="00A04D29" w:rsidP="00A04D29">
            <w:pPr>
              <w:rPr>
                <w:vertAlign w:val="subscript"/>
              </w:rPr>
            </w:pPr>
            <w:proofErr w:type="spellStart"/>
            <w:r>
              <w:t>Q</w:t>
            </w:r>
            <w:r>
              <w:rPr>
                <w:vertAlign w:val="subscript"/>
              </w:rPr>
              <w:t>y</w:t>
            </w:r>
            <w:proofErr w:type="spellEnd"/>
          </w:p>
        </w:tc>
        <w:tc>
          <w:tcPr>
            <w:tcW w:w="1535" w:type="dxa"/>
          </w:tcPr>
          <w:p w:rsidR="00A04D29" w:rsidRDefault="00A04D29" w:rsidP="00A04D29">
            <w:r>
              <w:t>1</w:t>
            </w:r>
          </w:p>
        </w:tc>
        <w:tc>
          <w:tcPr>
            <w:tcW w:w="1535" w:type="dxa"/>
          </w:tcPr>
          <w:p w:rsidR="00A04D29" w:rsidRDefault="00A04D29" w:rsidP="00A04D29">
            <w:r>
              <w:t>4</w:t>
            </w:r>
          </w:p>
        </w:tc>
        <w:tc>
          <w:tcPr>
            <w:tcW w:w="1535" w:type="dxa"/>
          </w:tcPr>
          <w:p w:rsidR="00A04D29" w:rsidRDefault="00A04D29" w:rsidP="00A04D29">
            <w:r>
              <w:t>11</w:t>
            </w:r>
          </w:p>
        </w:tc>
        <w:tc>
          <w:tcPr>
            <w:tcW w:w="1536" w:type="dxa"/>
          </w:tcPr>
          <w:p w:rsidR="00A04D29" w:rsidRDefault="00A04D29" w:rsidP="00A04D29">
            <w:r>
              <w:t>24</w:t>
            </w:r>
          </w:p>
        </w:tc>
        <w:tc>
          <w:tcPr>
            <w:tcW w:w="1536" w:type="dxa"/>
          </w:tcPr>
          <w:p w:rsidR="00A04D29" w:rsidRDefault="00A04D29" w:rsidP="00A04D29">
            <w:r>
              <w:t>45</w:t>
            </w:r>
          </w:p>
        </w:tc>
      </w:tr>
    </w:tbl>
    <w:p w:rsidR="00A04D29" w:rsidRDefault="00A04D29" w:rsidP="00A04D29"/>
    <w:p w:rsidR="00A04D29" w:rsidRDefault="00A04D29" w:rsidP="00A04D29">
      <w:pPr>
        <w:pStyle w:val="Akapitzlist"/>
        <w:numPr>
          <w:ilvl w:val="0"/>
          <w:numId w:val="1"/>
        </w:numPr>
        <w:rPr>
          <w:b/>
        </w:rPr>
      </w:pPr>
      <w:r w:rsidRPr="00317C70">
        <w:rPr>
          <w:b/>
        </w:rPr>
        <w:t>Narysuj wykres pokazujący wybór Tytusa za pomocą krzywej obojętności i jego linii budżetowej.</w:t>
      </w:r>
    </w:p>
    <w:p w:rsidR="00050B0B" w:rsidRDefault="00050B0B" w:rsidP="00050B0B">
      <w:pPr>
        <w:rPr>
          <w:b/>
        </w:rPr>
      </w:pPr>
    </w:p>
    <w:p w:rsidR="00050B0B" w:rsidRPr="00050B0B" w:rsidRDefault="00050B0B" w:rsidP="00050B0B">
      <w:pPr>
        <w:rPr>
          <w:b/>
        </w:rPr>
      </w:pPr>
    </w:p>
    <w:p w:rsidR="00A04D29" w:rsidRDefault="00FA409C" w:rsidP="003379EA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2770119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70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0B0B" w:rsidRDefault="00050B0B" w:rsidP="003379EA">
      <w:pPr>
        <w:jc w:val="center"/>
      </w:pPr>
    </w:p>
    <w:p w:rsidR="003379EA" w:rsidRDefault="00FA409C" w:rsidP="003379EA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3876675" cy="299085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EA" w:rsidRDefault="003379EA" w:rsidP="003379EA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067175" cy="2724150"/>
            <wp:effectExtent l="0" t="0" r="9525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09C" w:rsidRDefault="00FA409C">
      <w:r>
        <w:t>Krzywa obojętności Tytusa</w:t>
      </w:r>
    </w:p>
    <w:p w:rsidR="00FA409C" w:rsidRDefault="00AB418D" w:rsidP="00FA409C">
      <w:pPr>
        <w:jc w:val="center"/>
        <w:rPr>
          <w:rFonts w:eastAsiaTheme="minorEastAsia"/>
          <w:sz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</w:rPr>
              </m:ctrlPr>
            </m:sSubPr>
            <m:e>
              <m:r>
                <w:rPr>
                  <w:rFonts w:ascii="Cambria Math" w:hAnsi="Cambria Math"/>
                  <w:sz w:val="28"/>
                </w:rPr>
                <m:t>Q</m:t>
              </m:r>
            </m:e>
            <m:sub>
              <m:r>
                <w:rPr>
                  <w:rFonts w:ascii="Cambria Math" w:hAnsi="Cambria Math"/>
                  <w:sz w:val="28"/>
                </w:rPr>
                <m:t>y</m:t>
              </m:r>
            </m:sub>
          </m:sSub>
          <m:r>
            <w:rPr>
              <w:rFonts w:ascii="Cambria Math" w:hAnsi="Cambria Math"/>
              <w:sz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</w:rPr>
              </m:ctrlPr>
            </m:fPr>
            <m:num>
              <m:r>
                <w:rPr>
                  <w:rFonts w:ascii="Cambria Math" w:hAnsi="Cambria Math"/>
                  <w:sz w:val="28"/>
                </w:rPr>
                <m:t>539,81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8"/>
                    </w:rPr>
                    <m:t>x</m:t>
                  </m:r>
                </m:sub>
              </m:sSub>
            </m:den>
          </m:f>
          <m:r>
            <w:rPr>
              <w:rFonts w:ascii="Cambria Math" w:hAnsi="Cambria Math"/>
              <w:sz w:val="28"/>
            </w:rPr>
            <m:t>-22,14</m:t>
          </m:r>
        </m:oMath>
      </m:oMathPara>
    </w:p>
    <w:p w:rsidR="00FA409C" w:rsidRDefault="00FA409C" w:rsidP="00FA409C">
      <w:pPr>
        <w:rPr>
          <w:rFonts w:eastAsiaTheme="minorEastAsia"/>
        </w:rPr>
      </w:pPr>
      <w:r w:rsidRPr="00FA409C">
        <w:rPr>
          <w:rFonts w:eastAsiaTheme="minorEastAsia"/>
        </w:rPr>
        <w:t>Optymalny koszyk dóbr</w:t>
      </w:r>
    </w:p>
    <w:p w:rsidR="00FA409C" w:rsidRPr="00FA409C" w:rsidRDefault="00AB418D" w:rsidP="00FA409C">
      <w:pPr>
        <w:jc w:val="center"/>
        <w:rPr>
          <w:rFonts w:eastAsiaTheme="minorEastAsia"/>
          <w:sz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</w:rPr>
                    <m:t>=14,5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</w:rPr>
                    <m:t>=14,2</m:t>
                  </m:r>
                </m:e>
              </m:eqArr>
            </m:e>
          </m:d>
        </m:oMath>
      </m:oMathPara>
    </w:p>
    <w:p w:rsidR="00317C70" w:rsidRDefault="00317C70" w:rsidP="00317C7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514475" cy="285750"/>
            <wp:effectExtent l="0" t="0" r="9525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9EA" w:rsidRDefault="00317C70" w:rsidP="00317C70">
      <w:r>
        <w:lastRenderedPageBreak/>
        <w:t>Nachylenie krzywej budżetowej wynosi</w:t>
      </w:r>
      <w:proofErr w:type="gramStart"/>
      <w:r>
        <w:t xml:space="preserve"> -2,5, co</w:t>
      </w:r>
      <w:proofErr w:type="gramEnd"/>
      <w:r>
        <w:t xml:space="preserve"> </w:t>
      </w:r>
      <w:r w:rsidR="000D1F8A">
        <w:t>oznacza, że</w:t>
      </w:r>
      <w:r>
        <w:t xml:space="preserve"> by pozostało zachowane ograniczenie budżetowe, zmianie konsumpcji posiłków o jedną jednostkę musi odpowiadać zmiana konsumpcji notesów o 2,5 jednostki.  </w:t>
      </w:r>
    </w:p>
    <w:p w:rsidR="000D1F8A" w:rsidRDefault="000D1F8A" w:rsidP="00317C70"/>
    <w:p w:rsidR="000D1F8A" w:rsidRDefault="000D1F8A" w:rsidP="00317C70"/>
    <w:p w:rsidR="003379EA" w:rsidRPr="00317C70" w:rsidRDefault="003379EA" w:rsidP="003379EA">
      <w:pPr>
        <w:pStyle w:val="Akapitzlist"/>
        <w:numPr>
          <w:ilvl w:val="0"/>
          <w:numId w:val="1"/>
        </w:numPr>
        <w:rPr>
          <w:b/>
        </w:rPr>
      </w:pPr>
      <w:r w:rsidRPr="00317C70">
        <w:rPr>
          <w:b/>
        </w:rPr>
        <w:t xml:space="preserve">Cena notesów </w:t>
      </w:r>
      <w:proofErr w:type="gramStart"/>
      <w:r w:rsidRPr="00317C70">
        <w:rPr>
          <w:b/>
        </w:rPr>
        <w:t>spada do 1 USD</w:t>
      </w:r>
      <w:proofErr w:type="gramEnd"/>
      <w:r w:rsidRPr="00317C70">
        <w:rPr>
          <w:b/>
        </w:rPr>
        <w:t xml:space="preserve">, dochód Tytusa do 40 USD. Przeanalizuj zmianę optymalnego koszyka Tytusa. </w:t>
      </w:r>
    </w:p>
    <w:p w:rsidR="003379EA" w:rsidRDefault="00C43229" w:rsidP="003379EA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295775" cy="3143250"/>
            <wp:effectExtent l="0" t="0" r="9525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7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229" w:rsidRDefault="00C43229" w:rsidP="00C43229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3642862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42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3229" w:rsidRDefault="00C43229" w:rsidP="00C43229">
      <w:r>
        <w:lastRenderedPageBreak/>
        <w:t>Nowy optymalny koszyk dóbr</w:t>
      </w:r>
    </w:p>
    <w:p w:rsidR="00C43229" w:rsidRPr="00C43229" w:rsidRDefault="00AB418D" w:rsidP="00C43229">
      <w:pPr>
        <w:rPr>
          <w:sz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x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</w:rPr>
                    <m:t>=6,2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8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  <w:sz w:val="28"/>
                        </w:rPr>
                        <m:t>y</m:t>
                      </m:r>
                    </m:sub>
                  </m:sSub>
                  <m:r>
                    <w:rPr>
                      <w:rFonts w:ascii="Cambria Math" w:hAnsi="Cambria Math"/>
                      <w:sz w:val="28"/>
                    </w:rPr>
                    <m:t>=8,9</m:t>
                  </m:r>
                </m:e>
              </m:eqArr>
            </m:e>
          </m:d>
        </m:oMath>
      </m:oMathPara>
    </w:p>
    <w:p w:rsidR="00AC320A" w:rsidRDefault="00C43229" w:rsidP="00C43229">
      <w:r>
        <w:t>W wyniku spadku ceny notesów o 50% i obniżenia dochodu o 60% konsumpcja dóbr wchodzących w skład optymalnego koszyka zmniejszyła się odpowiednio o 57% dla posiłków (o</w:t>
      </w:r>
      <w:proofErr w:type="gramStart"/>
      <w:r>
        <w:t xml:space="preserve"> 8,2 jednostki</w:t>
      </w:r>
      <w:proofErr w:type="gramEnd"/>
      <w:r>
        <w:t xml:space="preserve">) i o 37 % dla notesów (o 5,3 jednostki).  </w:t>
      </w:r>
    </w:p>
    <w:p w:rsidR="006C5F1A" w:rsidRDefault="006C5F1A" w:rsidP="00C43229">
      <w:r>
        <w:t xml:space="preserve">Spadek </w:t>
      </w:r>
      <w:proofErr w:type="gramStart"/>
      <w:r>
        <w:t>ceny  notesów</w:t>
      </w:r>
      <w:proofErr w:type="gramEnd"/>
      <w:r>
        <w:t xml:space="preserve"> pomógł przeciwdziałać obniżce dochodu, ale nie był wystarczająco silny by całkowicie zniwelować jej wpływ  na konsumpcje tego dobra. </w:t>
      </w:r>
    </w:p>
    <w:p w:rsidR="00C43229" w:rsidRDefault="00C43229" w:rsidP="00C43229">
      <w:r>
        <w:t xml:space="preserve">Nowa krzywa obojętności położona jest bliżej środka układu współrzędnych, cechuje </w:t>
      </w:r>
      <w:proofErr w:type="gramStart"/>
      <w:r>
        <w:t>się więc</w:t>
      </w:r>
      <w:proofErr w:type="gramEnd"/>
      <w:r>
        <w:t xml:space="preserve"> niższą użytecznością.</w:t>
      </w:r>
    </w:p>
    <w:p w:rsidR="00317C70" w:rsidRDefault="00317C70" w:rsidP="00317C70">
      <w:pPr>
        <w:jc w:val="center"/>
      </w:pPr>
      <w:r>
        <w:rPr>
          <w:noProof/>
          <w:lang w:eastAsia="pl-PL"/>
        </w:rPr>
        <w:drawing>
          <wp:inline distT="0" distB="0" distL="0" distR="0">
            <wp:extent cx="1562100" cy="257175"/>
            <wp:effectExtent l="0" t="0" r="0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7C70" w:rsidRDefault="00317C70" w:rsidP="00C43229">
      <w:r>
        <w:t xml:space="preserve">Nachylenie krzywej budżetowej wynosi -5, co </w:t>
      </w:r>
      <w:proofErr w:type="gramStart"/>
      <w:r>
        <w:t>oznacza,  że</w:t>
      </w:r>
      <w:proofErr w:type="gramEnd"/>
      <w:r>
        <w:t xml:space="preserve"> by pozostało zachowane ograniczenie budżetowe, zmianie konsumpcji posiłków o jedną jednostkę musi odpowiadać zmiana konsumpcji notesów o 5 jednostek.  </w:t>
      </w:r>
    </w:p>
    <w:sectPr w:rsidR="00317C70" w:rsidSect="00526AE0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66DD" w:rsidRDefault="002F66DD" w:rsidP="00206F20">
      <w:pPr>
        <w:spacing w:after="0" w:line="240" w:lineRule="auto"/>
      </w:pPr>
      <w:r>
        <w:separator/>
      </w:r>
    </w:p>
  </w:endnote>
  <w:endnote w:type="continuationSeparator" w:id="0">
    <w:p w:rsidR="002F66DD" w:rsidRDefault="002F66DD" w:rsidP="0020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089336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06F20" w:rsidRDefault="00AB418D">
        <w:pPr>
          <w:pStyle w:val="Stopka"/>
          <w:jc w:val="center"/>
        </w:pPr>
        <w:r>
          <w:rPr>
            <w:noProof/>
            <w:lang w:eastAsia="pl-PL"/>
          </w:rPr>
        </w:r>
        <w:r>
          <w:rPr>
            <w:noProof/>
            <w:lang w:eastAsia="pl-PL"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2" o:spid="_x0000_s4097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" fillcolor="black" stroked="f">
              <v:fill r:id="rId1" o:title="" type="pattern"/>
              <w10:wrap type="none"/>
              <w10:anchorlock/>
            </v:shape>
          </w:pict>
        </w:r>
      </w:p>
      <w:p w:rsidR="00206F20" w:rsidRDefault="00AB418D">
        <w:pPr>
          <w:pStyle w:val="Stopka"/>
          <w:jc w:val="center"/>
        </w:pPr>
        <w:r>
          <w:fldChar w:fldCharType="begin"/>
        </w:r>
        <w:r w:rsidR="00206F20">
          <w:instrText xml:space="preserve"> PAGE    \* MERGEFORMAT </w:instrText>
        </w:r>
        <w:r>
          <w:fldChar w:fldCharType="separate"/>
        </w:r>
        <w:r w:rsidR="00BA6A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6F20" w:rsidRDefault="00206F2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66DD" w:rsidRDefault="002F66DD" w:rsidP="00206F20">
      <w:pPr>
        <w:spacing w:after="0" w:line="240" w:lineRule="auto"/>
      </w:pPr>
      <w:r>
        <w:separator/>
      </w:r>
    </w:p>
  </w:footnote>
  <w:footnote w:type="continuationSeparator" w:id="0">
    <w:p w:rsidR="002F66DD" w:rsidRDefault="002F66DD" w:rsidP="00206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F20" w:rsidRDefault="00206F20" w:rsidP="00206F20">
    <w:pPr>
      <w:pStyle w:val="Nagwek"/>
      <w:jc w:val="center"/>
    </w:pPr>
    <w:r>
      <w:t>Aneta Grabias, Matylda Tauber, Michał Szałański</w:t>
    </w:r>
    <w:r w:rsidR="00BA6A8A">
      <w:t xml:space="preserve"> WZ UW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9512A"/>
    <w:multiLevelType w:val="hybridMultilevel"/>
    <w:tmpl w:val="DEB8D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5E73F6"/>
    <w:multiLevelType w:val="hybridMultilevel"/>
    <w:tmpl w:val="0EE606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0B12B5"/>
    <w:multiLevelType w:val="hybridMultilevel"/>
    <w:tmpl w:val="9D66B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A04D29"/>
    <w:rsid w:val="00050B0B"/>
    <w:rsid w:val="000C1C7B"/>
    <w:rsid w:val="000D1F8A"/>
    <w:rsid w:val="00102312"/>
    <w:rsid w:val="00206F20"/>
    <w:rsid w:val="0021082F"/>
    <w:rsid w:val="002F66DD"/>
    <w:rsid w:val="00317C70"/>
    <w:rsid w:val="003379EA"/>
    <w:rsid w:val="003A5645"/>
    <w:rsid w:val="004F15F2"/>
    <w:rsid w:val="00526AE0"/>
    <w:rsid w:val="005A7933"/>
    <w:rsid w:val="00681282"/>
    <w:rsid w:val="006C5F1A"/>
    <w:rsid w:val="006D044D"/>
    <w:rsid w:val="00776054"/>
    <w:rsid w:val="007934C1"/>
    <w:rsid w:val="00826EB6"/>
    <w:rsid w:val="00890810"/>
    <w:rsid w:val="00A04D29"/>
    <w:rsid w:val="00AB418D"/>
    <w:rsid w:val="00AC320A"/>
    <w:rsid w:val="00BA6A8A"/>
    <w:rsid w:val="00C43229"/>
    <w:rsid w:val="00C45896"/>
    <w:rsid w:val="00C567FB"/>
    <w:rsid w:val="00C72084"/>
    <w:rsid w:val="00D2084F"/>
    <w:rsid w:val="00D809AF"/>
    <w:rsid w:val="00DD40AF"/>
    <w:rsid w:val="00E177B5"/>
    <w:rsid w:val="00EF48B4"/>
    <w:rsid w:val="00F20880"/>
    <w:rsid w:val="00F7280E"/>
    <w:rsid w:val="00FA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6A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4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A04D2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37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79E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FA409C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20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F20"/>
  </w:style>
  <w:style w:type="paragraph" w:styleId="Stopka">
    <w:name w:val="footer"/>
    <w:basedOn w:val="Normalny"/>
    <w:link w:val="StopkaZnak"/>
    <w:uiPriority w:val="99"/>
    <w:unhideWhenUsed/>
    <w:rsid w:val="00206F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F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251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Telewizja Polska S.A.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Czytelnia WZUW</dc:creator>
  <cp:lastModifiedBy> </cp:lastModifiedBy>
  <cp:revision>3</cp:revision>
  <dcterms:created xsi:type="dcterms:W3CDTF">2016-02-03T11:09:00Z</dcterms:created>
  <dcterms:modified xsi:type="dcterms:W3CDTF">2016-02-03T11:10:00Z</dcterms:modified>
</cp:coreProperties>
</file>