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C4" w:rsidRDefault="00525FA6" w:rsidP="00937A4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Mikołaj </w:t>
      </w:r>
      <w:proofErr w:type="spellStart"/>
      <w:r>
        <w:rPr>
          <w:rFonts w:ascii="Times New Roman" w:hAnsi="Times New Roman"/>
          <w:b/>
        </w:rPr>
        <w:t>Gamdzyk</w:t>
      </w:r>
      <w:proofErr w:type="spellEnd"/>
      <w:r>
        <w:rPr>
          <w:rFonts w:ascii="Times New Roman" w:hAnsi="Times New Roman"/>
          <w:b/>
        </w:rPr>
        <w:t xml:space="preserve">, </w:t>
      </w:r>
      <w:r w:rsidR="006938C4">
        <w:rPr>
          <w:rFonts w:ascii="Times New Roman" w:hAnsi="Times New Roman"/>
          <w:b/>
        </w:rPr>
        <w:t xml:space="preserve">Kinga </w:t>
      </w:r>
      <w:proofErr w:type="gramStart"/>
      <w:r w:rsidR="006938C4">
        <w:rPr>
          <w:rFonts w:ascii="Times New Roman" w:hAnsi="Times New Roman"/>
          <w:b/>
        </w:rPr>
        <w:t xml:space="preserve">Muszyńska, </w:t>
      </w:r>
      <w:r>
        <w:rPr>
          <w:rFonts w:ascii="Times New Roman" w:hAnsi="Times New Roman"/>
          <w:b/>
        </w:rPr>
        <w:t xml:space="preserve"> Anna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Ociesa</w:t>
      </w:r>
      <w:proofErr w:type="spellEnd"/>
      <w:r>
        <w:rPr>
          <w:rFonts w:ascii="Times New Roman" w:hAnsi="Times New Roman"/>
          <w:b/>
        </w:rPr>
        <w:t xml:space="preserve">, </w:t>
      </w:r>
      <w:r w:rsidR="006938C4">
        <w:rPr>
          <w:rFonts w:ascii="Times New Roman" w:hAnsi="Times New Roman"/>
          <w:b/>
        </w:rPr>
        <w:t>Aleksandra R</w:t>
      </w:r>
      <w:r w:rsidR="002E28E5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dzikowska</w:t>
      </w:r>
    </w:p>
    <w:p w:rsidR="00937A41" w:rsidRPr="006938C4" w:rsidRDefault="00937A41" w:rsidP="00937A41">
      <w:pPr>
        <w:rPr>
          <w:rFonts w:ascii="Times New Roman" w:hAnsi="Times New Roman"/>
          <w:b/>
          <w:u w:val="single"/>
        </w:rPr>
      </w:pPr>
      <w:r w:rsidRPr="006938C4">
        <w:rPr>
          <w:rFonts w:ascii="Times New Roman" w:hAnsi="Times New Roman"/>
          <w:b/>
          <w:u w:val="single"/>
        </w:rPr>
        <w:t>Fakultatywna praca z mikroekonomii</w:t>
      </w:r>
    </w:p>
    <w:p w:rsidR="00937A41" w:rsidRPr="006938C4" w:rsidRDefault="00937A41" w:rsidP="00937A41">
      <w:pPr>
        <w:jc w:val="both"/>
        <w:rPr>
          <w:rFonts w:ascii="Times New Roman" w:hAnsi="Times New Roman"/>
        </w:rPr>
      </w:pPr>
      <w:r w:rsidRPr="006938C4">
        <w:rPr>
          <w:rFonts w:ascii="Times New Roman" w:hAnsi="Times New Roman"/>
        </w:rPr>
        <w:t xml:space="preserve">Przeprowadziliśmy </w:t>
      </w:r>
      <w:proofErr w:type="gramStart"/>
      <w:r w:rsidRPr="006938C4">
        <w:rPr>
          <w:rFonts w:ascii="Times New Roman" w:hAnsi="Times New Roman"/>
        </w:rPr>
        <w:t>ankietę  wśród</w:t>
      </w:r>
      <w:proofErr w:type="gramEnd"/>
      <w:r w:rsidRPr="006938C4">
        <w:rPr>
          <w:rFonts w:ascii="Times New Roman" w:hAnsi="Times New Roman"/>
        </w:rPr>
        <w:t xml:space="preserve"> 100</w:t>
      </w:r>
      <w:r w:rsidR="00F80EA1" w:rsidRPr="006938C4">
        <w:rPr>
          <w:rFonts w:ascii="Times New Roman" w:hAnsi="Times New Roman"/>
        </w:rPr>
        <w:t xml:space="preserve"> studentek </w:t>
      </w:r>
      <w:r w:rsidRPr="006938C4">
        <w:rPr>
          <w:rFonts w:ascii="Times New Roman" w:hAnsi="Times New Roman"/>
        </w:rPr>
        <w:t xml:space="preserve">WZ UW  na temat zależności między ceną za </w:t>
      </w:r>
      <w:r w:rsidR="00E74583" w:rsidRPr="006938C4">
        <w:rPr>
          <w:rFonts w:ascii="Times New Roman" w:hAnsi="Times New Roman"/>
        </w:rPr>
        <w:t>tusz do rzęs</w:t>
      </w:r>
      <w:r w:rsidR="00F80EA1" w:rsidRPr="006938C4">
        <w:rPr>
          <w:rFonts w:ascii="Times New Roman" w:hAnsi="Times New Roman"/>
        </w:rPr>
        <w:t xml:space="preserve"> znanej marki</w:t>
      </w:r>
      <w:r w:rsidRPr="006938C4">
        <w:rPr>
          <w:rFonts w:ascii="Times New Roman" w:hAnsi="Times New Roman"/>
        </w:rPr>
        <w:t xml:space="preserve">,  a podażą </w:t>
      </w:r>
      <w:r w:rsidR="00F80EA1" w:rsidRPr="006938C4">
        <w:rPr>
          <w:rFonts w:ascii="Times New Roman" w:hAnsi="Times New Roman"/>
        </w:rPr>
        <w:t>tuszów</w:t>
      </w:r>
      <w:r w:rsidR="001205ED" w:rsidRPr="006938C4">
        <w:rPr>
          <w:rFonts w:ascii="Times New Roman" w:hAnsi="Times New Roman"/>
        </w:rPr>
        <w:t xml:space="preserve"> ze strony </w:t>
      </w:r>
      <w:r w:rsidR="00F80EA1" w:rsidRPr="006938C4">
        <w:rPr>
          <w:rFonts w:ascii="Times New Roman" w:hAnsi="Times New Roman"/>
        </w:rPr>
        <w:t xml:space="preserve">osiedlowej drogerii </w:t>
      </w:r>
      <w:r w:rsidR="001205ED" w:rsidRPr="006938C4">
        <w:rPr>
          <w:rFonts w:ascii="Times New Roman" w:hAnsi="Times New Roman"/>
        </w:rPr>
        <w:t>w Ząbkach</w:t>
      </w:r>
      <w:r w:rsidRPr="006938C4">
        <w:rPr>
          <w:rFonts w:ascii="Times New Roman" w:hAnsi="Times New Roman"/>
        </w:rPr>
        <w:t>.</w:t>
      </w:r>
    </w:p>
    <w:p w:rsidR="00937A41" w:rsidRDefault="00937A41" w:rsidP="00937A41">
      <w:pPr>
        <w:jc w:val="both"/>
        <w:rPr>
          <w:rFonts w:ascii="Times New Roman" w:hAnsi="Times New Roman"/>
        </w:rPr>
      </w:pPr>
      <w:r w:rsidRPr="006938C4">
        <w:rPr>
          <w:rFonts w:ascii="Times New Roman" w:hAnsi="Times New Roman"/>
          <w:b/>
        </w:rPr>
        <w:t xml:space="preserve">Pytanie do </w:t>
      </w:r>
      <w:proofErr w:type="gramStart"/>
      <w:r w:rsidRPr="006938C4">
        <w:rPr>
          <w:rFonts w:ascii="Times New Roman" w:hAnsi="Times New Roman"/>
          <w:b/>
        </w:rPr>
        <w:t>student</w:t>
      </w:r>
      <w:r w:rsidR="006938C4" w:rsidRPr="006938C4">
        <w:rPr>
          <w:rFonts w:ascii="Times New Roman" w:hAnsi="Times New Roman"/>
          <w:b/>
        </w:rPr>
        <w:t>ek</w:t>
      </w:r>
      <w:r w:rsidRPr="006938C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Pr="006938C4">
        <w:rPr>
          <w:rFonts w:ascii="Times New Roman" w:hAnsi="Times New Roman"/>
          <w:i/>
        </w:rPr>
        <w:t>Po jakiej</w:t>
      </w:r>
      <w:proofErr w:type="gramEnd"/>
      <w:r w:rsidRPr="006938C4">
        <w:rPr>
          <w:rFonts w:ascii="Times New Roman" w:hAnsi="Times New Roman"/>
          <w:i/>
        </w:rPr>
        <w:t xml:space="preserve"> maksymalnej cenie kupił</w:t>
      </w:r>
      <w:r w:rsidR="00513697" w:rsidRPr="006938C4">
        <w:rPr>
          <w:rFonts w:ascii="Times New Roman" w:hAnsi="Times New Roman"/>
          <w:i/>
        </w:rPr>
        <w:t>a</w:t>
      </w:r>
      <w:r w:rsidRPr="006938C4">
        <w:rPr>
          <w:rFonts w:ascii="Times New Roman" w:hAnsi="Times New Roman"/>
          <w:i/>
        </w:rPr>
        <w:t xml:space="preserve">byś </w:t>
      </w:r>
      <w:r w:rsidR="00F80EA1" w:rsidRPr="006938C4">
        <w:rPr>
          <w:rFonts w:ascii="Times New Roman" w:hAnsi="Times New Roman"/>
          <w:i/>
        </w:rPr>
        <w:t>tusz do rzęs</w:t>
      </w:r>
      <w:r w:rsidR="001205ED" w:rsidRPr="006938C4">
        <w:rPr>
          <w:rFonts w:ascii="Times New Roman" w:hAnsi="Times New Roman"/>
          <w:i/>
        </w:rPr>
        <w:t xml:space="preserve"> w </w:t>
      </w:r>
      <w:r w:rsidR="00F80EA1" w:rsidRPr="006938C4">
        <w:rPr>
          <w:rFonts w:ascii="Times New Roman" w:hAnsi="Times New Roman"/>
          <w:i/>
        </w:rPr>
        <w:t>osiedlowej drogerii</w:t>
      </w:r>
      <w:r w:rsidRPr="006938C4">
        <w:rPr>
          <w:rFonts w:ascii="Times New Roman" w:hAnsi="Times New Roman"/>
          <w:i/>
        </w:rPr>
        <w:t>?</w:t>
      </w:r>
    </w:p>
    <w:p w:rsidR="00937A41" w:rsidRDefault="00937A41" w:rsidP="00937A41">
      <w:pPr>
        <w:jc w:val="both"/>
        <w:rPr>
          <w:rFonts w:ascii="Times New Roman" w:hAnsi="Times New Roman"/>
        </w:rPr>
      </w:pPr>
      <w:r w:rsidRPr="006938C4">
        <w:rPr>
          <w:rFonts w:ascii="Times New Roman" w:hAnsi="Times New Roman"/>
          <w:b/>
        </w:rPr>
        <w:t xml:space="preserve">Pytanie do </w:t>
      </w:r>
      <w:r w:rsidR="001205ED" w:rsidRPr="006938C4">
        <w:rPr>
          <w:rFonts w:ascii="Times New Roman" w:hAnsi="Times New Roman"/>
          <w:b/>
        </w:rPr>
        <w:t>właściciela sklepu</w:t>
      </w:r>
      <w:r w:rsidRPr="006938C4">
        <w:rPr>
          <w:rFonts w:ascii="Times New Roman" w:hAnsi="Times New Roman"/>
          <w:b/>
          <w:i/>
        </w:rPr>
        <w:t>:</w:t>
      </w:r>
      <w:r w:rsidRPr="006938C4">
        <w:rPr>
          <w:rFonts w:ascii="Times New Roman" w:hAnsi="Times New Roman"/>
          <w:i/>
        </w:rPr>
        <w:t xml:space="preserve"> Ile </w:t>
      </w:r>
      <w:r w:rsidR="00F80EA1" w:rsidRPr="006938C4">
        <w:rPr>
          <w:rFonts w:ascii="Times New Roman" w:hAnsi="Times New Roman"/>
          <w:i/>
        </w:rPr>
        <w:t>tuszów do rzęs</w:t>
      </w:r>
      <w:r w:rsidR="001205ED" w:rsidRPr="006938C4">
        <w:rPr>
          <w:rFonts w:ascii="Times New Roman" w:hAnsi="Times New Roman"/>
          <w:i/>
        </w:rPr>
        <w:t xml:space="preserve"> był</w:t>
      </w:r>
      <w:r w:rsidRPr="006938C4">
        <w:rPr>
          <w:rFonts w:ascii="Times New Roman" w:hAnsi="Times New Roman"/>
          <w:i/>
        </w:rPr>
        <w:t>by w stanie dostarczyć na rynek przy danej cenie?</w:t>
      </w:r>
      <w:r>
        <w:rPr>
          <w:rFonts w:ascii="Times New Roman" w:hAnsi="Times New Roman"/>
        </w:rPr>
        <w:t xml:space="preserve"> </w:t>
      </w:r>
    </w:p>
    <w:p w:rsidR="00937A41" w:rsidRDefault="00937A41" w:rsidP="00937A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Przyjęliśmy 5 uśrednionych wyników (średnia </w:t>
      </w:r>
      <w:proofErr w:type="gramStart"/>
      <w:r>
        <w:rPr>
          <w:rFonts w:ascii="Times New Roman" w:hAnsi="Times New Roman"/>
        </w:rPr>
        <w:t>arytmetyczna)  spośród</w:t>
      </w:r>
      <w:proofErr w:type="gramEnd"/>
      <w:r>
        <w:rPr>
          <w:rFonts w:ascii="Times New Roman" w:hAnsi="Times New Roman"/>
        </w:rPr>
        <w:t xml:space="preserve"> 100 uzyskanych odpowiedzi.</w:t>
      </w:r>
      <w:r w:rsidR="00534B3A">
        <w:rPr>
          <w:rFonts w:ascii="Times New Roman" w:hAnsi="Times New Roman"/>
        </w:rPr>
        <w:t xml:space="preserve"> Wprowadzamy dane do modelu </w:t>
      </w:r>
      <w:proofErr w:type="spellStart"/>
      <w:r w:rsidR="00534B3A">
        <w:rPr>
          <w:rFonts w:ascii="Times New Roman" w:hAnsi="Times New Roman"/>
        </w:rPr>
        <w:t>MMikroWZUW</w:t>
      </w:r>
      <w:proofErr w:type="spellEnd"/>
      <w:r w:rsidR="00534B3A">
        <w:rPr>
          <w:rFonts w:ascii="Times New Roman" w:hAnsi="Times New Roman"/>
        </w:rPr>
        <w:t xml:space="preserve"> v.1.0 </w:t>
      </w:r>
      <w:proofErr w:type="gramStart"/>
      <w:r w:rsidR="00534B3A">
        <w:rPr>
          <w:rFonts w:ascii="Times New Roman" w:hAnsi="Times New Roman"/>
        </w:rPr>
        <w:t>arkusz</w:t>
      </w:r>
      <w:proofErr w:type="gramEnd"/>
      <w:r w:rsidR="00534B3A">
        <w:rPr>
          <w:rFonts w:ascii="Times New Roman" w:hAnsi="Times New Roman"/>
        </w:rPr>
        <w:t xml:space="preserve"> 1PopPod wraz z odpowiedziami uzyskanymi od właściciela sklepu.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418"/>
        <w:gridCol w:w="1417"/>
        <w:gridCol w:w="1560"/>
        <w:gridCol w:w="1417"/>
        <w:gridCol w:w="1276"/>
      </w:tblGrid>
      <w:tr w:rsidR="00937A41" w:rsidRPr="00A06FC0" w:rsidTr="00195C7D">
        <w:trPr>
          <w:trHeight w:val="288"/>
        </w:trPr>
        <w:tc>
          <w:tcPr>
            <w:tcW w:w="3402" w:type="dxa"/>
            <w:shd w:val="clear" w:color="auto" w:fill="auto"/>
            <w:vAlign w:val="center"/>
          </w:tcPr>
          <w:p w:rsidR="00937A41" w:rsidRPr="00A06FC0" w:rsidRDefault="00937A41" w:rsidP="00195C7D">
            <w:pPr>
              <w:rPr>
                <w:rFonts w:ascii="Times New Roman" w:hAnsi="Times New Roman"/>
              </w:rPr>
            </w:pPr>
            <w:r w:rsidRPr="00A06FC0">
              <w:rPr>
                <w:rFonts w:ascii="Times New Roman" w:hAnsi="Times New Roman"/>
              </w:rPr>
              <w:t xml:space="preserve">Cena za </w:t>
            </w:r>
            <w:r w:rsidR="004064E7">
              <w:rPr>
                <w:rFonts w:ascii="Times New Roman" w:hAnsi="Times New Roman"/>
              </w:rPr>
              <w:t>tusz</w:t>
            </w:r>
            <w:r>
              <w:rPr>
                <w:rFonts w:ascii="Times New Roman" w:hAnsi="Times New Roman"/>
              </w:rPr>
              <w:t xml:space="preserve"> </w:t>
            </w:r>
            <w:r w:rsidRPr="00A06FC0">
              <w:rPr>
                <w:rFonts w:ascii="Times New Roman" w:hAnsi="Times New Roman"/>
              </w:rPr>
              <w:t>w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937A41" w:rsidRPr="00A06FC0" w:rsidTr="00195C7D">
        <w:trPr>
          <w:trHeight w:val="777"/>
        </w:trPr>
        <w:tc>
          <w:tcPr>
            <w:tcW w:w="3402" w:type="dxa"/>
            <w:shd w:val="clear" w:color="auto" w:fill="auto"/>
            <w:vAlign w:val="center"/>
          </w:tcPr>
          <w:p w:rsidR="00937A41" w:rsidRPr="00A06FC0" w:rsidRDefault="00F80EA1" w:rsidP="00195C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Ilość popytu- Ile </w:t>
            </w:r>
            <w:r w:rsidR="00937A41">
              <w:rPr>
                <w:rFonts w:ascii="Times New Roman" w:hAnsi="Times New Roman"/>
              </w:rPr>
              <w:t>student</w:t>
            </w:r>
            <w:r>
              <w:rPr>
                <w:rFonts w:ascii="Times New Roman" w:hAnsi="Times New Roman"/>
              </w:rPr>
              <w:t>ek</w:t>
            </w:r>
            <w:r w:rsidR="00937A41">
              <w:rPr>
                <w:rFonts w:ascii="Times New Roman" w:hAnsi="Times New Roman"/>
              </w:rPr>
              <w:t xml:space="preserve"> byłby skłonnych kupić </w:t>
            </w:r>
            <w:r>
              <w:rPr>
                <w:rFonts w:ascii="Times New Roman" w:hAnsi="Times New Roman"/>
              </w:rPr>
              <w:t xml:space="preserve">tusz do rzęs </w:t>
            </w:r>
            <w:r w:rsidR="00937A41">
              <w:rPr>
                <w:rFonts w:ascii="Times New Roman" w:hAnsi="Times New Roman"/>
              </w:rPr>
              <w:t>po tej cenie?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A41" w:rsidRPr="00A06FC0" w:rsidRDefault="00937A4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80EA1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7A41" w:rsidRPr="00A06FC0" w:rsidRDefault="00F80EA1" w:rsidP="00D41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937A41" w:rsidRDefault="00937A41" w:rsidP="00937A41">
      <w:pPr>
        <w:rPr>
          <w:rFonts w:ascii="Times New Roman" w:hAnsi="Times New Roman"/>
        </w:rPr>
      </w:pPr>
    </w:p>
    <w:p w:rsidR="00937A41" w:rsidRDefault="00937A41" w:rsidP="00937A41">
      <w:pPr>
        <w:rPr>
          <w:rFonts w:ascii="Times New Roman" w:hAnsi="Times New Roman"/>
        </w:rPr>
      </w:pPr>
      <w:r>
        <w:rPr>
          <w:rFonts w:ascii="Times New Roman" w:hAnsi="Times New Roman"/>
        </w:rPr>
        <w:t>Jako wyniki dla podaży przyjęliśmy na podstawie oszacowania i konsultacji z</w:t>
      </w:r>
      <w:r w:rsidR="00F80EA1">
        <w:rPr>
          <w:rFonts w:ascii="Times New Roman" w:hAnsi="Times New Roman"/>
        </w:rPr>
        <w:t xml:space="preserve"> właścicielem</w:t>
      </w:r>
      <w:r>
        <w:rPr>
          <w:rFonts w:ascii="Times New Roman" w:hAnsi="Times New Roman"/>
        </w:rPr>
        <w:t xml:space="preserve"> </w:t>
      </w:r>
      <w:r w:rsidR="00F80EA1">
        <w:rPr>
          <w:rFonts w:ascii="Times New Roman" w:hAnsi="Times New Roman"/>
        </w:rPr>
        <w:t>osiedlowej drogerii w Ząbkach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dane:</w:t>
      </w:r>
      <w:proofErr w:type="gramEnd"/>
    </w:p>
    <w:tbl>
      <w:tblPr>
        <w:tblpPr w:leftFromText="141" w:rightFromText="141" w:vertAnchor="text" w:horzAnchor="margin" w:tblpX="108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1418"/>
        <w:gridCol w:w="1593"/>
        <w:gridCol w:w="1417"/>
        <w:gridCol w:w="1276"/>
      </w:tblGrid>
      <w:tr w:rsidR="00D41BDC" w:rsidRPr="00A06FC0" w:rsidTr="00195C7D">
        <w:trPr>
          <w:trHeight w:val="553"/>
        </w:trPr>
        <w:tc>
          <w:tcPr>
            <w:tcW w:w="3369" w:type="dxa"/>
            <w:shd w:val="clear" w:color="auto" w:fill="auto"/>
          </w:tcPr>
          <w:p w:rsidR="00D41BDC" w:rsidRPr="00A06FC0" w:rsidRDefault="00D41BDC" w:rsidP="00195C7D">
            <w:pPr>
              <w:rPr>
                <w:rFonts w:ascii="Times New Roman" w:hAnsi="Times New Roman"/>
              </w:rPr>
            </w:pPr>
            <w:r w:rsidRPr="00A06FC0">
              <w:rPr>
                <w:rFonts w:ascii="Times New Roman" w:hAnsi="Times New Roman"/>
              </w:rPr>
              <w:t xml:space="preserve">Cena za </w:t>
            </w:r>
            <w:r>
              <w:rPr>
                <w:rFonts w:ascii="Times New Roman" w:hAnsi="Times New Roman"/>
              </w:rPr>
              <w:t xml:space="preserve">tusz </w:t>
            </w:r>
            <w:r w:rsidRPr="00A06FC0">
              <w:rPr>
                <w:rFonts w:ascii="Times New Roman" w:hAnsi="Times New Roman"/>
              </w:rPr>
              <w:t>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D41BDC" w:rsidRPr="00A06FC0" w:rsidTr="00195C7D">
        <w:tc>
          <w:tcPr>
            <w:tcW w:w="3369" w:type="dxa"/>
            <w:shd w:val="clear" w:color="auto" w:fill="auto"/>
          </w:tcPr>
          <w:p w:rsidR="00D41BDC" w:rsidRPr="00A06FC0" w:rsidRDefault="00D41BDC" w:rsidP="00195C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podaży- liczba tusz</w:t>
            </w:r>
            <w:r w:rsidR="007F319C">
              <w:rPr>
                <w:rFonts w:ascii="Times New Roman" w:hAnsi="Times New Roman"/>
              </w:rPr>
              <w:t>ów</w:t>
            </w:r>
            <w:r>
              <w:rPr>
                <w:rFonts w:ascii="Times New Roman" w:hAnsi="Times New Roman"/>
              </w:rPr>
              <w:t xml:space="preserve"> przeznaczona do sprzedaży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BDC" w:rsidRPr="00A06FC0" w:rsidRDefault="00D41BDC" w:rsidP="00195C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D41BDC" w:rsidRDefault="00D41BDC" w:rsidP="00937A41">
      <w:pPr>
        <w:rPr>
          <w:rFonts w:ascii="Times New Roman" w:hAnsi="Times New Roman"/>
        </w:rPr>
      </w:pPr>
    </w:p>
    <w:p w:rsidR="00D41BDC" w:rsidRDefault="00937A41" w:rsidP="00937A41">
      <w:pPr>
        <w:rPr>
          <w:rFonts w:ascii="Times New Roman" w:hAnsi="Times New Roman"/>
        </w:rPr>
      </w:pPr>
      <w:r>
        <w:rPr>
          <w:rFonts w:ascii="Times New Roman" w:hAnsi="Times New Roman"/>
        </w:rPr>
        <w:t>Po wprowadzeniu do modelu mamy:</w:t>
      </w:r>
    </w:p>
    <w:p w:rsidR="00D41BDC" w:rsidRDefault="00D41BDC" w:rsidP="00534B3A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6645910" cy="1390650"/>
            <wp:effectExtent l="19050" t="0" r="2540" b="0"/>
            <wp:wrapTopAndBottom/>
            <wp:docPr id="3" name="Obraz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BDC" w:rsidRDefault="00D41BDC" w:rsidP="00D41BDC">
      <w:pPr>
        <w:jc w:val="both"/>
        <w:rPr>
          <w:rFonts w:ascii="Times New Roman" w:hAnsi="Times New Roman"/>
        </w:rPr>
      </w:pPr>
      <w:r w:rsidRPr="00534B3A">
        <w:rPr>
          <w:rFonts w:ascii="Times New Roman" w:hAnsi="Times New Roman"/>
          <w:b/>
        </w:rPr>
        <w:t xml:space="preserve">Interpretacja </w:t>
      </w:r>
      <w:proofErr w:type="gramStart"/>
      <w:r w:rsidRPr="00534B3A">
        <w:rPr>
          <w:rFonts w:ascii="Times New Roman" w:hAnsi="Times New Roman"/>
          <w:b/>
        </w:rPr>
        <w:t>wyniku:</w:t>
      </w:r>
      <w:r w:rsidRPr="000C37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Po</w:t>
      </w:r>
      <w:proofErr w:type="gramEnd"/>
      <w:r>
        <w:rPr>
          <w:rFonts w:ascii="Times New Roman" w:hAnsi="Times New Roman"/>
        </w:rPr>
        <w:t xml:space="preserve"> wprowadzeniu do modelu danych rzeczywistych funkcja popytu ma wzór:  </w:t>
      </w:r>
    </w:p>
    <w:p w:rsidR="00D41BDC" w:rsidRDefault="00D41BDC" w:rsidP="00D41BDC">
      <w:pPr>
        <w:jc w:val="center"/>
        <w:rPr>
          <w:rFonts w:ascii="Times New Roman" w:hAnsi="Times New Roman"/>
        </w:rPr>
      </w:pPr>
      <w:proofErr w:type="spellStart"/>
      <w:r w:rsidRPr="00063934">
        <w:rPr>
          <w:rFonts w:ascii="Times New Roman" w:hAnsi="Times New Roman"/>
          <w:highlight w:val="lightGray"/>
        </w:rPr>
        <w:t>Qd</w:t>
      </w:r>
      <w:proofErr w:type="spellEnd"/>
      <w:proofErr w:type="gramStart"/>
      <w:r w:rsidRPr="00063934">
        <w:rPr>
          <w:rFonts w:ascii="Times New Roman" w:hAnsi="Times New Roman"/>
          <w:highlight w:val="lightGray"/>
        </w:rPr>
        <w:t xml:space="preserve"> = – 1,93P</w:t>
      </w:r>
      <w:proofErr w:type="gramEnd"/>
      <w:r w:rsidRPr="00063934">
        <w:rPr>
          <w:rFonts w:ascii="Times New Roman" w:hAnsi="Times New Roman"/>
          <w:highlight w:val="lightGray"/>
        </w:rPr>
        <w:t xml:space="preserve"> + 109,85</w:t>
      </w:r>
    </w:p>
    <w:p w:rsidR="00D41BDC" w:rsidRDefault="00D41BDC" w:rsidP="00D41BDC">
      <w:pPr>
        <w:rPr>
          <w:rFonts w:ascii="Times New Roman" w:hAnsi="Times New Roman"/>
        </w:rPr>
      </w:pPr>
      <w:r>
        <w:rPr>
          <w:rFonts w:ascii="Times New Roman" w:hAnsi="Times New Roman"/>
        </w:rPr>
        <w:t>Funkcja podaży opisana jest wzorem:</w:t>
      </w:r>
    </w:p>
    <w:p w:rsidR="00D41BDC" w:rsidRDefault="00D41BDC" w:rsidP="00D41BDC">
      <w:pPr>
        <w:jc w:val="center"/>
        <w:rPr>
          <w:rFonts w:ascii="Times New Roman" w:hAnsi="Times New Roman"/>
        </w:rPr>
      </w:pPr>
      <w:proofErr w:type="spellStart"/>
      <w:r w:rsidRPr="00063934">
        <w:rPr>
          <w:rFonts w:ascii="Times New Roman" w:hAnsi="Times New Roman"/>
          <w:highlight w:val="lightGray"/>
        </w:rPr>
        <w:t>Qs</w:t>
      </w:r>
      <w:proofErr w:type="spellEnd"/>
      <w:proofErr w:type="gramStart"/>
      <w:r w:rsidRPr="00063934">
        <w:rPr>
          <w:rFonts w:ascii="Times New Roman" w:hAnsi="Times New Roman"/>
          <w:highlight w:val="lightGray"/>
        </w:rPr>
        <w:t>= 3,35 P</w:t>
      </w:r>
      <w:proofErr w:type="gramEnd"/>
      <w:r w:rsidRPr="00063934">
        <w:rPr>
          <w:rFonts w:ascii="Times New Roman" w:hAnsi="Times New Roman"/>
          <w:highlight w:val="lightGray"/>
        </w:rPr>
        <w:t xml:space="preserve"> – 111,75</w:t>
      </w:r>
    </w:p>
    <w:p w:rsidR="00D41BDC" w:rsidRDefault="007F319C" w:rsidP="00937A4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lastRenderedPageBreak/>
        <w:drawing>
          <wp:inline distT="0" distB="0" distL="0" distR="0">
            <wp:extent cx="4133850" cy="2809993"/>
            <wp:effectExtent l="19050" t="0" r="0" b="0"/>
            <wp:docPr id="5" name="Obraz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80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9C" w:rsidRPr="000C3710" w:rsidRDefault="007F319C" w:rsidP="007F319C">
      <w:pPr>
        <w:jc w:val="both"/>
        <w:rPr>
          <w:rFonts w:ascii="Times New Roman" w:hAnsi="Times New Roman"/>
        </w:rPr>
      </w:pPr>
      <w:r w:rsidRPr="006938C4">
        <w:rPr>
          <w:rFonts w:ascii="Times New Roman" w:hAnsi="Times New Roman"/>
          <w:b/>
        </w:rPr>
        <w:t>Interpretacja wyniku:</w:t>
      </w:r>
      <w:r w:rsidRPr="000C37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Uzyskane wyniki rzeczywiste nie mają charakteru funkcji, nie leżą na prostych popytu i podaży.</w:t>
      </w:r>
    </w:p>
    <w:p w:rsidR="007F319C" w:rsidRDefault="007F319C" w:rsidP="007F319C">
      <w:pPr>
        <w:rPr>
          <w:rFonts w:ascii="Times New Roman" w:hAnsi="Times New Roman"/>
          <w:noProof/>
          <w:lang w:eastAsia="pl-PL"/>
        </w:rPr>
      </w:pPr>
      <w:r w:rsidRPr="00140C47">
        <w:rPr>
          <w:rFonts w:ascii="Times New Roman" w:hAnsi="Times New Roman"/>
          <w:noProof/>
          <w:lang w:eastAsia="pl-PL"/>
        </w:rPr>
        <w:t>Uzyskujemy nastepujący punkt przecięcia:</w:t>
      </w:r>
    </w:p>
    <w:p w:rsidR="00D41BDC" w:rsidRDefault="007F319C" w:rsidP="00937A4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4476750" cy="1323975"/>
            <wp:effectExtent l="19050" t="0" r="0" b="0"/>
            <wp:docPr id="6" name="Obraz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9C" w:rsidRPr="006938C4" w:rsidRDefault="007F319C" w:rsidP="007F319C">
      <w:pPr>
        <w:rPr>
          <w:rFonts w:ascii="Times New Roman" w:hAnsi="Times New Roman"/>
          <w:b/>
        </w:rPr>
      </w:pPr>
      <w:r w:rsidRPr="006938C4">
        <w:rPr>
          <w:rFonts w:ascii="Times New Roman" w:hAnsi="Times New Roman"/>
          <w:b/>
        </w:rPr>
        <w:t xml:space="preserve">Interpretacja wyniku: </w:t>
      </w:r>
    </w:p>
    <w:p w:rsidR="007F319C" w:rsidRDefault="00534B3A" w:rsidP="007F31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Równowaga na rynku tuszów osiągana jest przy cenie równowagi </w:t>
      </w:r>
      <w:r w:rsidR="007F319C">
        <w:rPr>
          <w:rFonts w:ascii="Times New Roman" w:hAnsi="Times New Roman"/>
        </w:rPr>
        <w:t xml:space="preserve">P = 41,97 zł przy ilości </w:t>
      </w:r>
      <w:proofErr w:type="gramStart"/>
      <w:r w:rsidR="007F319C">
        <w:rPr>
          <w:rFonts w:ascii="Times New Roman" w:hAnsi="Times New Roman"/>
        </w:rPr>
        <w:t>średnio  28,85, czyli</w:t>
      </w:r>
      <w:proofErr w:type="gramEnd"/>
      <w:r w:rsidR="007F319C">
        <w:rPr>
          <w:rFonts w:ascii="Times New Roman" w:hAnsi="Times New Roman"/>
        </w:rPr>
        <w:t xml:space="preserve"> w przybliżeniu 29 tuszów do rzęs. </w:t>
      </w:r>
    </w:p>
    <w:p w:rsidR="007B6992" w:rsidRDefault="008D30FC" w:rsidP="007F319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595630</wp:posOffset>
            </wp:positionV>
            <wp:extent cx="3656965" cy="2990850"/>
            <wp:effectExtent l="19050" t="0" r="635" b="0"/>
            <wp:wrapTopAndBottom/>
            <wp:docPr id="8" name="Obraz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rcRect r="44981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19C">
        <w:rPr>
          <w:rFonts w:ascii="Times New Roman" w:hAnsi="Times New Roman"/>
        </w:rPr>
        <w:t>Uzyskane funkcje podaży i popytu wprowadzamy do arkusza 4ElastyczPopPod w celu policzenia cenowej elastyczności popytu i cenowej elastyczności podaży w punkcie równowagi</w:t>
      </w:r>
      <w:r w:rsidR="00063934">
        <w:rPr>
          <w:rFonts w:ascii="Times New Roman" w:hAnsi="Times New Roman"/>
        </w:rPr>
        <w:t>.</w:t>
      </w:r>
    </w:p>
    <w:p w:rsidR="00063934" w:rsidRDefault="00063934" w:rsidP="00063934">
      <w:pPr>
        <w:rPr>
          <w:rFonts w:ascii="Times New Roman" w:hAnsi="Times New Roman"/>
        </w:rPr>
      </w:pPr>
      <w:r w:rsidRPr="0017279E">
        <w:rPr>
          <w:rFonts w:ascii="Times New Roman" w:hAnsi="Times New Roman"/>
        </w:rPr>
        <w:lastRenderedPageBreak/>
        <w:t>Wyniki cenowej elastyczności w punkcie dla obu funkcji</w:t>
      </w:r>
      <w:r>
        <w:rPr>
          <w:rFonts w:ascii="Times New Roman" w:hAnsi="Times New Roman"/>
        </w:rPr>
        <w:t>:</w:t>
      </w:r>
    </w:p>
    <w:p w:rsidR="00513697" w:rsidRPr="0017279E" w:rsidRDefault="00B92BFA" w:rsidP="0006393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6524625" cy="248837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160" t="40051" r="47114" b="27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48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934" w:rsidRDefault="00B92BFA" w:rsidP="007F319C">
      <w:r>
        <w:rPr>
          <w:noProof/>
          <w:lang w:eastAsia="pl-PL"/>
        </w:rPr>
        <w:drawing>
          <wp:inline distT="0" distB="0" distL="0" distR="0">
            <wp:extent cx="5048250" cy="3634786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76" t="27296" r="56121" b="1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CD" w:rsidRDefault="00513697" w:rsidP="00513697">
      <w:pPr>
        <w:jc w:val="both"/>
        <w:rPr>
          <w:rFonts w:ascii="Times New Roman" w:hAnsi="Times New Roman"/>
        </w:rPr>
      </w:pPr>
      <w:r w:rsidRPr="0017279E">
        <w:rPr>
          <w:rFonts w:ascii="Times New Roman" w:hAnsi="Times New Roman"/>
          <w:b/>
        </w:rPr>
        <w:t>Interpretacja wyniku</w:t>
      </w:r>
      <w:r w:rsidRPr="0017279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513697" w:rsidRDefault="001D3ECD" w:rsidP="001D3E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punkcie równowagi na rynku tuszu do rzęs mamy do czynienia z elastycznym popytem i elastyczną podażą. Oznacza to, że dla ceny P</w:t>
      </w:r>
      <w:r>
        <w:rPr>
          <w:rFonts w:ascii="Times New Roman" w:hAnsi="Times New Roman"/>
          <w:vertAlign w:val="subscript"/>
        </w:rPr>
        <w:t>e</w:t>
      </w:r>
      <w:proofErr w:type="gramStart"/>
      <w:r>
        <w:rPr>
          <w:rFonts w:ascii="Times New Roman" w:hAnsi="Times New Roman"/>
        </w:rPr>
        <w:t xml:space="preserve"> = 41,97 zł</w:t>
      </w:r>
      <w:proofErr w:type="gramEnd"/>
      <w:r>
        <w:rPr>
          <w:rFonts w:ascii="Times New Roman" w:hAnsi="Times New Roman"/>
        </w:rPr>
        <w:t xml:space="preserve">, </w:t>
      </w:r>
      <w:r w:rsidR="00195C7D">
        <w:rPr>
          <w:rFonts w:ascii="Times New Roman" w:hAnsi="Times New Roman"/>
        </w:rPr>
        <w:t>każda</w:t>
      </w:r>
      <w:r>
        <w:rPr>
          <w:rFonts w:ascii="Times New Roman" w:hAnsi="Times New Roman"/>
        </w:rPr>
        <w:t xml:space="preserve"> zmiana ceny wywoła procentową zmianę popytu, która stanowi -2,81 procentowej zmiany ceny. Również podaż na tusz do rzęs jest elastyczna, co oznacza, że dla ceny równowagi rynkowej, </w:t>
      </w:r>
      <w:r w:rsidR="00195C7D">
        <w:rPr>
          <w:rFonts w:ascii="Times New Roman" w:hAnsi="Times New Roman"/>
        </w:rPr>
        <w:t>każda</w:t>
      </w:r>
      <w:r>
        <w:rPr>
          <w:rFonts w:ascii="Times New Roman" w:hAnsi="Times New Roman"/>
        </w:rPr>
        <w:t xml:space="preserve"> zmiana ceny wywoła procentową zmianę wielkości podaży, która stanowi</w:t>
      </w:r>
      <w:proofErr w:type="gramStart"/>
      <w:r>
        <w:rPr>
          <w:rFonts w:ascii="Times New Roman" w:hAnsi="Times New Roman"/>
        </w:rPr>
        <w:t xml:space="preserve"> 4,87 procentowej</w:t>
      </w:r>
      <w:proofErr w:type="gramEnd"/>
      <w:r>
        <w:rPr>
          <w:rFonts w:ascii="Times New Roman" w:hAnsi="Times New Roman"/>
        </w:rPr>
        <w:t xml:space="preserve"> zmiany ceny. Elastyczne wskaźniki elastyczności cenowej popytu i podaży </w:t>
      </w:r>
      <w:proofErr w:type="gramStart"/>
      <w:r>
        <w:rPr>
          <w:rFonts w:ascii="Times New Roman" w:hAnsi="Times New Roman"/>
        </w:rPr>
        <w:t>dowodzą,  że</w:t>
      </w:r>
      <w:proofErr w:type="gramEnd"/>
      <w:r>
        <w:rPr>
          <w:rFonts w:ascii="Times New Roman" w:hAnsi="Times New Roman"/>
        </w:rPr>
        <w:t xml:space="preserve"> mamy do czynienia z dobrem normalnym.</w:t>
      </w:r>
    </w:p>
    <w:p w:rsidR="001D3ECD" w:rsidRPr="001D3ECD" w:rsidRDefault="001D3ECD" w:rsidP="001D3E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niższym</w:t>
      </w:r>
      <w:r w:rsidR="00B92BFA">
        <w:rPr>
          <w:rFonts w:ascii="Times New Roman" w:hAnsi="Times New Roman"/>
        </w:rPr>
        <w:t xml:space="preserve"> poziomie ceny wynoszącym P = 37</w:t>
      </w:r>
      <w:r>
        <w:rPr>
          <w:rFonts w:ascii="Times New Roman" w:hAnsi="Times New Roman"/>
        </w:rPr>
        <w:t xml:space="preserve"> zł mamy do czynienia z niedoborem rynkowym w wysokości</w:t>
      </w:r>
      <w:proofErr w:type="gramStart"/>
      <w:r w:rsidR="00B92BFA">
        <w:rPr>
          <w:rFonts w:ascii="Times New Roman" w:hAnsi="Times New Roman"/>
        </w:rPr>
        <w:t xml:space="preserve"> 26,24 sztuki</w:t>
      </w:r>
      <w:proofErr w:type="gramEnd"/>
      <w:r w:rsidR="00B92BFA">
        <w:rPr>
          <w:rFonts w:ascii="Times New Roman" w:hAnsi="Times New Roman"/>
        </w:rPr>
        <w:t>. Przy tym poziomie ceny punktowa elastyczność jest elastyczna, jednakże jest mniejsza aniżeli w punkcie równowagi rynkowej. Natomiast punktowa elastyczność podaży jest elastyczna, jednakże jest większa niż w punkcie równowagi.</w:t>
      </w:r>
    </w:p>
    <w:sectPr w:rsidR="001D3ECD" w:rsidRPr="001D3ECD" w:rsidSect="00937A4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D1" w:rsidRDefault="00EE52D1" w:rsidP="00EE52D1">
      <w:pPr>
        <w:spacing w:after="0" w:line="240" w:lineRule="auto"/>
      </w:pPr>
      <w:r>
        <w:separator/>
      </w:r>
    </w:p>
  </w:endnote>
  <w:endnote w:type="continuationSeparator" w:id="0">
    <w:p w:rsidR="00EE52D1" w:rsidRDefault="00EE52D1" w:rsidP="00EE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594"/>
      <w:docPartObj>
        <w:docPartGallery w:val="Page Numbers (Bottom of Page)"/>
        <w:docPartUnique/>
      </w:docPartObj>
    </w:sdtPr>
    <w:sdtContent>
      <w:p w:rsidR="00EE52D1" w:rsidRDefault="00070446" w:rsidP="00EE52D1">
        <w:pPr>
          <w:pStyle w:val="Stopka"/>
          <w:jc w:val="right"/>
        </w:pPr>
        <w:fldSimple w:instr=" PAGE   \* MERGEFORMAT ">
          <w:r w:rsidR="001A012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D1" w:rsidRDefault="00EE52D1" w:rsidP="00EE52D1">
      <w:pPr>
        <w:spacing w:after="0" w:line="240" w:lineRule="auto"/>
      </w:pPr>
      <w:r>
        <w:separator/>
      </w:r>
    </w:p>
  </w:footnote>
  <w:footnote w:type="continuationSeparator" w:id="0">
    <w:p w:rsidR="00EE52D1" w:rsidRDefault="00EE52D1" w:rsidP="00EE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A41"/>
    <w:rsid w:val="00062A20"/>
    <w:rsid w:val="00063934"/>
    <w:rsid w:val="00070446"/>
    <w:rsid w:val="000D2538"/>
    <w:rsid w:val="001205ED"/>
    <w:rsid w:val="00181D73"/>
    <w:rsid w:val="00195C7D"/>
    <w:rsid w:val="001A0124"/>
    <w:rsid w:val="001D3ECD"/>
    <w:rsid w:val="002E28E5"/>
    <w:rsid w:val="004064E7"/>
    <w:rsid w:val="00513697"/>
    <w:rsid w:val="00525FA6"/>
    <w:rsid w:val="00534B3A"/>
    <w:rsid w:val="006938C4"/>
    <w:rsid w:val="00730B61"/>
    <w:rsid w:val="007B6992"/>
    <w:rsid w:val="007C3720"/>
    <w:rsid w:val="007F319C"/>
    <w:rsid w:val="00846B99"/>
    <w:rsid w:val="008D30FC"/>
    <w:rsid w:val="00937A41"/>
    <w:rsid w:val="009E330C"/>
    <w:rsid w:val="00B92BFA"/>
    <w:rsid w:val="00D41BDC"/>
    <w:rsid w:val="00E74583"/>
    <w:rsid w:val="00E77BDF"/>
    <w:rsid w:val="00EE52D1"/>
    <w:rsid w:val="00F8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A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BD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E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2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5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2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 </cp:lastModifiedBy>
  <cp:revision>2</cp:revision>
  <dcterms:created xsi:type="dcterms:W3CDTF">2016-02-05T11:16:00Z</dcterms:created>
  <dcterms:modified xsi:type="dcterms:W3CDTF">2016-02-05T11:16:00Z</dcterms:modified>
</cp:coreProperties>
</file>